
<file path=[Content_Types].xml><?xml version="1.0" encoding="utf-8"?>
<Types xmlns="http://schemas.openxmlformats.org/package/2006/content-types">
  <Default Extension="svg" ContentType="image/svg+xml"/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header3.xml" ContentType="application/vnd.openxmlformats-officedocument.wordprocessingml.header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912"/>
      </w:pPr>
      <w:r>
        <w:rPr>
          <w:bCs/>
          <w:szCs w:val="28"/>
          <w:highlight w:val="none"/>
        </w:rPr>
      </w:r>
      <w:r>
        <w:rPr>
          <w:rFonts w:eastAsia="Calibri"/>
          <w:sz w:val="20"/>
          <w:szCs w:val="2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48424" cy="652127"/>
                <wp:effectExtent l="0" t="0" r="0" b="0"/>
                <wp:docPr id="1" name="_x0000_i102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72826227" name=""/>
                        <pic:cNvPicPr/>
                        <pic:nvPr/>
                      </pic:nvPicPr>
                      <pic:blipFill>
                        <a:blip r:embed="rId14">
                          <a:extLst>
                            <a:ext uri="{96DAC541-7B7A-43D3-8B79-37D633B846F1}">
                              <asvg:svgBlip xmlns:asvg="http://schemas.microsoft.com/office/drawing/2016/SVG/main" r:embed="rId15"/>
                            </a:ext>
                          </a:extLst>
                        </a:blip>
                        <a:stretch/>
                      </pic:blipFill>
                      <pic:spPr bwMode="auto">
                        <a:xfrm rot="0" flipH="0" flipV="0">
                          <a:off x="0" y="0"/>
                          <a:ext cx="548424" cy="6521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43.18pt;height:51.35pt;mso-wrap-distance-left:0.00pt;mso-wrap-distance-top:0.00pt;mso-wrap-distance-right:0.00pt;mso-wrap-distance-bottom:0.00pt;rotation:0;" stroked="f">
                <v:path textboxrect="0,0,0,0"/>
                <v:imagedata r:id="rId14" o:title=""/>
              </v:shape>
            </w:pict>
          </mc:Fallback>
        </mc:AlternateContent>
      </w:r>
      <w:r/>
      <w:r>
        <w:rPr>
          <w:bCs/>
          <w:szCs w:val="28"/>
          <w:highlight w:val="none"/>
        </w:rPr>
      </w:r>
      <w:r>
        <w:rPr>
          <w:bCs/>
          <w:szCs w:val="28"/>
          <w:highlight w:val="none"/>
        </w:rPr>
      </w:r>
    </w:p>
    <w:p>
      <w:pPr>
        <w:pStyle w:val="912"/>
        <w:rPr>
          <w:highlight w:val="none"/>
        </w:rPr>
      </w:pPr>
      <w:r>
        <w:rPr>
          <w:bCs/>
          <w:szCs w:val="28"/>
          <w:highlight w:val="none"/>
        </w:rPr>
      </w:r>
      <w:r>
        <w:rPr>
          <w:bCs/>
          <w:szCs w:val="28"/>
          <w:highlight w:val="none"/>
        </w:rPr>
      </w:r>
    </w:p>
    <w:p>
      <w:pPr>
        <w:pStyle w:val="912"/>
        <w:rPr>
          <w:highlight w:val="none"/>
        </w:rPr>
      </w:pPr>
      <w:r>
        <w:rPr>
          <w:bCs/>
          <w:szCs w:val="28"/>
        </w:rPr>
        <w:t xml:space="preserve">ДЕПАРТАМЕНТ ИМУЩЕСТВА И ЗЕМЕЛЬНЫХ ОТНОШЕНИЙ</w:t>
      </w:r>
      <w:r>
        <w:rPr>
          <w:bCs/>
          <w:szCs w:val="28"/>
        </w:rPr>
      </w:r>
      <w:r>
        <w:rPr>
          <w:highlight w:val="none"/>
        </w:rPr>
      </w:r>
    </w:p>
    <w:p>
      <w:pPr>
        <w:pStyle w:val="913"/>
        <w:rPr>
          <w:sz w:val="28"/>
          <w:szCs w:val="28"/>
        </w:rPr>
      </w:pPr>
      <w:r>
        <w:rPr>
          <w:sz w:val="28"/>
          <w:szCs w:val="28"/>
        </w:rPr>
        <w:t xml:space="preserve">НОВОСИБИРСКОЙ ОБЛАСТИ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912"/>
        <w:rPr>
          <w:bCs/>
          <w:szCs w:val="28"/>
        </w:rPr>
      </w:pPr>
      <w:r>
        <w:rPr>
          <w:bCs/>
          <w:szCs w:val="28"/>
        </w:rPr>
        <w:t xml:space="preserve">ПОЯСНИТЕЛЬНАЯ ЗАПИСКА </w:t>
      </w:r>
      <w:r>
        <w:rPr>
          <w:bCs/>
          <w:szCs w:val="28"/>
        </w:rPr>
      </w:r>
      <w:r>
        <w:rPr>
          <w:bCs/>
          <w:szCs w:val="28"/>
        </w:rPr>
      </w:r>
    </w:p>
    <w:p>
      <w:pPr>
        <w:pStyle w:val="911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911"/>
        <w:jc w:val="center"/>
        <w:tabs>
          <w:tab w:val="left" w:pos="6804" w:leader="none"/>
        </w:tabs>
      </w:pPr>
      <w:r>
        <w:rPr>
          <w:b/>
          <w:sz w:val="28"/>
          <w:szCs w:val="28"/>
        </w:rPr>
        <w:t xml:space="preserve">к проекту закона Новосибирской области «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О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 переводе 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земельного участка с</w:t>
      </w:r>
      <w:r>
        <w:rPr>
          <w:rFonts w:ascii="Times New Roman" w:hAnsi="Times New Roman"/>
          <w:b/>
          <w:sz w:val="28"/>
          <w:szCs w:val="28"/>
        </w:rPr>
        <w:t xml:space="preserve"> 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кадастровым номе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ром 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54:19:093601:692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и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з 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состава земель одной категории в другую</w:t>
      </w:r>
      <w:r>
        <w:rPr>
          <w:b/>
          <w:sz w:val="28"/>
          <w:szCs w:val="28"/>
        </w:rPr>
        <w:t xml:space="preserve">»</w:t>
      </w:r>
      <w:r>
        <w:rPr>
          <w:b/>
          <w:bCs/>
          <w:sz w:val="28"/>
          <w:szCs w:val="28"/>
        </w:rPr>
      </w:r>
      <w:r/>
    </w:p>
    <w:p>
      <w:pPr>
        <w:pStyle w:val="911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911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 Федеральным законом от 21.12.2004 № 172-ФЗ «О</w:t>
      </w:r>
      <w:r>
        <w:rPr>
          <w:color w:val="000000"/>
          <w:sz w:val="28"/>
          <w:szCs w:val="28"/>
          <w:highlight w:val="white"/>
        </w:rPr>
        <w:t xml:space="preserve"> </w:t>
      </w:r>
      <w:r>
        <w:rPr>
          <w:sz w:val="28"/>
          <w:szCs w:val="28"/>
        </w:rPr>
        <w:t xml:space="preserve">переводе земель или земельных участков из одной категории в др</w:t>
      </w:r>
      <w:r>
        <w:rPr>
          <w:sz w:val="28"/>
          <w:szCs w:val="28"/>
        </w:rPr>
        <w:t xml:space="preserve">у</w:t>
      </w:r>
      <w:r>
        <w:rPr>
          <w:sz w:val="28"/>
          <w:szCs w:val="28"/>
        </w:rPr>
        <w:t xml:space="preserve">гую» (далее – Закон №</w:t>
      </w:r>
      <w:r>
        <w:rPr>
          <w:sz w:val="28"/>
          <w:szCs w:val="28"/>
        </w:rPr>
        <w:t xml:space="preserve"> </w:t>
      </w:r>
      <w:r>
        <w:rPr>
          <w:sz w:val="28"/>
          <w:szCs w:val="28"/>
        </w:rPr>
        <w:t xml:space="preserve">172-ФЗ) департаментом имущества и земельных отношений Новосибирской области рассмотрены ходатайство администрации Новосибирского</w:t>
      </w:r>
      <w:r>
        <w:rPr>
          <w:sz w:val="28"/>
          <w:szCs w:val="28"/>
        </w:rPr>
        <w:t xml:space="preserve"> района</w:t>
      </w:r>
      <w:r>
        <w:rPr>
          <w:sz w:val="28"/>
          <w:szCs w:val="28"/>
        </w:rPr>
        <w:t xml:space="preserve"> Новосибирской области и пакет документов о переводе из категории земель сельскохозяйственного назначения в категорию земель особо охраняемых территорий и объектов земельного участка с кадастровым номером </w:t>
      </w:r>
      <w:r>
        <w:rPr>
          <w:sz w:val="28"/>
          <w:szCs w:val="28"/>
        </w:rPr>
        <w:t xml:space="preserve">54:19:093601:692</w:t>
      </w:r>
      <w:r>
        <w:rPr>
          <w:sz w:val="28"/>
          <w:szCs w:val="28"/>
        </w:rPr>
        <w:t xml:space="preserve">, местоположение: </w:t>
      </w:r>
      <w:r>
        <w:rPr>
          <w:rFonts w:ascii="Times New Roman" w:hAnsi="Times New Roman"/>
          <w:sz w:val="28"/>
          <w:szCs w:val="28"/>
        </w:rPr>
        <w:t xml:space="preserve">Российская Федерация, Новосибирская область, Новосибирский район, Кубовинский сельсовет</w:t>
      </w:r>
      <w:r>
        <w:rPr>
          <w:sz w:val="28"/>
          <w:szCs w:val="28"/>
        </w:rPr>
        <w:t xml:space="preserve">, площадью 26145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кв.</w:t>
      </w:r>
      <w:r>
        <w:rPr>
          <w:sz w:val="28"/>
          <w:szCs w:val="28"/>
        </w:rPr>
        <w:t xml:space="preserve"> </w:t>
      </w:r>
      <w:r>
        <w:rPr>
          <w:sz w:val="28"/>
          <w:szCs w:val="28"/>
        </w:rPr>
        <w:t xml:space="preserve">м, для </w:t>
      </w:r>
      <w:r>
        <w:rPr>
          <w:rFonts w:ascii="Times New Roman" w:hAnsi="Times New Roman"/>
          <w:sz w:val="28"/>
          <w:szCs w:val="28"/>
        </w:rPr>
        <w:t xml:space="preserve">организации отдыха, туризма, физкультурно-оздоровительной и спортивной деятельности</w:t>
      </w:r>
      <w:r>
        <w:rPr>
          <w:sz w:val="28"/>
          <w:szCs w:val="28"/>
        </w:rPr>
        <w:t xml:space="preserve">.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752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Особенности перевода земель сельскохозяйственных угодий или з</w:t>
      </w:r>
      <w:r>
        <w:rPr>
          <w:sz w:val="28"/>
          <w:szCs w:val="28"/>
        </w:rPr>
        <w:t xml:space="preserve">емельных участков в составе таких земель из земель сельскохозяйственного назначения в</w:t>
      </w:r>
      <w:r>
        <w:rPr>
          <w:sz w:val="28"/>
          <w:szCs w:val="28"/>
        </w:rPr>
        <w:t xml:space="preserve"> </w:t>
      </w:r>
      <w:r>
        <w:rPr>
          <w:sz w:val="28"/>
          <w:szCs w:val="28"/>
        </w:rPr>
        <w:t xml:space="preserve">другую категорию (в том числе в категорию земель «земли особо охраняемых территорий и объектов») устанавливаются </w:t>
      </w:r>
      <w:r>
        <w:rPr>
          <w:color w:val="000000"/>
          <w:sz w:val="28"/>
          <w:szCs w:val="28"/>
          <w:highlight w:val="white"/>
        </w:rPr>
        <w:t xml:space="preserve">статьей 7 Закона № 172-ФЗ</w:t>
      </w:r>
      <w:r>
        <w:rPr>
          <w:color w:val="000000"/>
          <w:sz w:val="28"/>
          <w:szCs w:val="28"/>
        </w:rPr>
        <w:t xml:space="preserve">.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752"/>
        <w:ind w:firstLine="708"/>
        <w:jc w:val="both"/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</w:pP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В соответствии со сведениями генерального плана Кубовинского сельсовета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Новосибирского района Новосибирской области, утвержденного приказом министерства строительства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Новосибирской области от 11.02.2020 №</w:t>
      </w:r>
      <w:r>
        <w:rPr>
          <w:sz w:val="28"/>
          <w:szCs w:val="28"/>
        </w:rPr>
        <w:t xml:space="preserve"> 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56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,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земельный участок расположен в</w:t>
      </w:r>
      <w:r>
        <w:rPr>
          <w:color w:val="000000"/>
          <w:sz w:val="28"/>
          <w:szCs w:val="28"/>
          <w:highlight w:val="white"/>
        </w:rPr>
        <w:t xml:space="preserve"> 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функциональной зоне озелененных территорий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общего пользования (лесопарки, парки, сады, скверы, бульвары, городские леса).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</w:r>
    </w:p>
    <w:p>
      <w:pPr>
        <w:pStyle w:val="752"/>
        <w:ind w:firstLine="708"/>
        <w:jc w:val="both"/>
      </w:pP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Согласно правилам землепользования и застройки Кубовинского сельсовета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Новосибирского района Новосибирской области, утвержденным приказом министерства строительства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Новосибирской области от 26.11.2020 №</w:t>
      </w:r>
      <w:r>
        <w:rPr>
          <w:color w:val="000000"/>
          <w:sz w:val="28"/>
          <w:szCs w:val="28"/>
          <w:highlight w:val="white"/>
        </w:rPr>
        <w:t xml:space="preserve"> 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624,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земельный участок расположен в</w:t>
      </w:r>
      <w:r>
        <w:rPr>
          <w:color w:val="000000"/>
          <w:sz w:val="28"/>
          <w:szCs w:val="28"/>
          <w:highlight w:val="white"/>
        </w:rPr>
        <w:t xml:space="preserve"> 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территориальной зоне рекреационного назначения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(Р).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</w:r>
      <w:r/>
    </w:p>
    <w:p>
      <w:pPr>
        <w:pStyle w:val="752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Выполнение работ и оказание услуг в сфере туризма, физической культуры и спорта, организации отдыха и укрепления здоровья граждан</w:t>
      </w:r>
      <w:r>
        <w:rPr>
          <w:sz w:val="28"/>
          <w:szCs w:val="28"/>
        </w:rPr>
        <w:t xml:space="preserve">, являющийся рекреационной деяте</w:t>
      </w:r>
      <w:r>
        <w:rPr>
          <w:sz w:val="28"/>
          <w:szCs w:val="28"/>
        </w:rPr>
        <w:t xml:space="preserve">льностью, </w:t>
      </w:r>
      <w:r>
        <w:rPr>
          <w:sz w:val="28"/>
          <w:szCs w:val="28"/>
        </w:rPr>
        <w:t xml:space="preserve">согласно пункту 1 статьи 9</w:t>
      </w:r>
      <w:r>
        <w:rPr>
          <w:sz w:val="28"/>
          <w:szCs w:val="28"/>
        </w:rPr>
        <w:t xml:space="preserve">8</w:t>
      </w:r>
      <w:r>
        <w:rPr>
          <w:sz w:val="28"/>
          <w:szCs w:val="28"/>
        </w:rPr>
        <w:t xml:space="preserve"> Земельного кодекса Российской Федерации (далее – ЗК РФ) осуществляется на </w:t>
      </w:r>
      <w:r>
        <w:rPr>
          <w:sz w:val="28"/>
          <w:szCs w:val="28"/>
        </w:rPr>
        <w:t xml:space="preserve">землях рекреационного назначения</w:t>
      </w:r>
      <w:r>
        <w:rPr>
          <w:sz w:val="28"/>
          <w:szCs w:val="28"/>
        </w:rPr>
        <w:t xml:space="preserve">.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Земли рекреационного назначения входят в состав земель особо охраняемых территорий (подпункт 3 пункта 2 </w:t>
      </w:r>
      <w:r>
        <w:rPr>
          <w:sz w:val="28"/>
          <w:szCs w:val="28"/>
        </w:rPr>
        <w:t xml:space="preserve">статьи</w:t>
      </w:r>
      <w:r>
        <w:rPr>
          <w:sz w:val="28"/>
          <w:szCs w:val="28"/>
        </w:rPr>
        <w:t xml:space="preserve"> 94 ЗК РФ)</w:t>
      </w:r>
      <w:r>
        <w:rPr>
          <w:sz w:val="28"/>
          <w:szCs w:val="28"/>
        </w:rPr>
        <w:t xml:space="preserve">.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752"/>
        <w:ind w:firstLine="708"/>
        <w:jc w:val="both"/>
        <w:rPr>
          <w:sz w:val="28"/>
          <w:szCs w:val="28"/>
          <w:highlight w:val="white"/>
        </w:rPr>
      </w:pPr>
      <w:r>
        <w:rPr>
          <w:sz w:val="28"/>
          <w:szCs w:val="28"/>
        </w:rPr>
        <w:t xml:space="preserve">Таким образом,</w:t>
      </w:r>
      <w:r>
        <w:rPr>
          <w:sz w:val="28"/>
          <w:szCs w:val="28"/>
        </w:rPr>
        <w:t xml:space="preserve"> земельные</w:t>
      </w:r>
      <w:r>
        <w:rPr>
          <w:sz w:val="28"/>
          <w:szCs w:val="28"/>
        </w:rPr>
        <w:t xml:space="preserve"> участки, входящие в </w:t>
      </w:r>
      <w:r>
        <w:rPr>
          <w:sz w:val="28"/>
          <w:szCs w:val="28"/>
        </w:rPr>
        <w:t xml:space="preserve">функциональн</w:t>
      </w:r>
      <w:r>
        <w:rPr>
          <w:sz w:val="28"/>
          <w:szCs w:val="28"/>
        </w:rPr>
        <w:t xml:space="preserve">ую</w:t>
      </w:r>
      <w:r>
        <w:rPr>
          <w:sz w:val="28"/>
          <w:szCs w:val="28"/>
        </w:rPr>
        <w:t xml:space="preserve"> зон</w:t>
      </w:r>
      <w:r>
        <w:rPr>
          <w:sz w:val="28"/>
          <w:szCs w:val="28"/>
        </w:rPr>
        <w:t xml:space="preserve">у</w:t>
      </w:r>
      <w:r>
        <w:rPr>
          <w:sz w:val="28"/>
          <w:szCs w:val="28"/>
        </w:rPr>
        <w:t xml:space="preserve"> «Зона 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озелененных территорий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общего пользования (лесопарки, парки, сады, скверы, бульвары, городские леса)</w:t>
      </w:r>
      <w:r>
        <w:rPr>
          <w:sz w:val="28"/>
          <w:szCs w:val="28"/>
        </w:rPr>
        <w:t xml:space="preserve">»</w:t>
      </w:r>
      <w:r>
        <w:rPr>
          <w:sz w:val="28"/>
          <w:szCs w:val="28"/>
        </w:rPr>
        <w:t xml:space="preserve"> относятся к</w:t>
      </w:r>
      <w:r>
        <w:rPr>
          <w:sz w:val="28"/>
          <w:szCs w:val="28"/>
        </w:rPr>
        <w:t xml:space="preserve"> зем</w:t>
      </w:r>
      <w:r>
        <w:rPr>
          <w:sz w:val="28"/>
          <w:szCs w:val="28"/>
        </w:rPr>
        <w:t xml:space="preserve">л</w:t>
      </w:r>
      <w:r>
        <w:rPr>
          <w:sz w:val="28"/>
          <w:szCs w:val="28"/>
        </w:rPr>
        <w:t xml:space="preserve">ям</w:t>
      </w:r>
      <w:r>
        <w:rPr>
          <w:sz w:val="28"/>
          <w:szCs w:val="28"/>
        </w:rPr>
        <w:t xml:space="preserve"> рекреационного назначения в составе земель категории «земли </w:t>
      </w:r>
      <w:r>
        <w:rPr>
          <w:sz w:val="28"/>
          <w:szCs w:val="28"/>
        </w:rPr>
        <w:t xml:space="preserve">особо охраняемых территорий и объектов».</w:t>
      </w:r>
      <w:r>
        <w:rPr>
          <w:sz w:val="28"/>
          <w:szCs w:val="28"/>
          <w:highlight w:val="white"/>
        </w:rPr>
      </w:r>
      <w:r>
        <w:rPr>
          <w:sz w:val="28"/>
          <w:szCs w:val="28"/>
          <w:highlight w:val="white"/>
        </w:rPr>
      </w:r>
    </w:p>
    <w:p>
      <w:pPr>
        <w:pStyle w:val="752"/>
        <w:ind w:firstLine="708"/>
        <w:jc w:val="both"/>
      </w:pPr>
      <w:r>
        <w:rPr>
          <w:sz w:val="28"/>
          <w:szCs w:val="28"/>
          <w:highlight w:val="white"/>
        </w:rPr>
        <w:t xml:space="preserve">В</w:t>
      </w:r>
      <w:r>
        <w:rPr>
          <w:sz w:val="28"/>
          <w:szCs w:val="28"/>
          <w:highlight w:val="white"/>
        </w:rPr>
        <w:t xml:space="preserve"> силу пункта 2 статьи 7 ЗК РФ правовой режим земель определяется</w:t>
      </w:r>
      <w:r>
        <w:rPr>
          <w:sz w:val="28"/>
          <w:szCs w:val="28"/>
          <w:highlight w:val="white"/>
        </w:rPr>
        <w:t xml:space="preserve"> </w:t>
      </w:r>
      <w:r>
        <w:rPr>
          <w:sz w:val="28"/>
          <w:szCs w:val="28"/>
          <w:highlight w:val="white"/>
        </w:rPr>
        <w:t xml:space="preserve">исходя из их принадлежности к той или иной категории и разрешенного</w:t>
      </w:r>
      <w:r>
        <w:rPr>
          <w:sz w:val="28"/>
          <w:szCs w:val="28"/>
          <w:highlight w:val="white"/>
        </w:rPr>
        <w:t xml:space="preserve"> </w:t>
      </w:r>
      <w:r>
        <w:rPr>
          <w:sz w:val="28"/>
          <w:szCs w:val="28"/>
          <w:highlight w:val="white"/>
        </w:rPr>
        <w:t xml:space="preserve">использования в соответствии с зонированием территорий.</w:t>
      </w:r>
      <w:r>
        <w:rPr>
          <w:sz w:val="28"/>
          <w:szCs w:val="28"/>
          <w:highlight w:val="white"/>
        </w:rPr>
        <w:t xml:space="preserve"> </w:t>
      </w:r>
      <w:r>
        <w:rPr>
          <w:sz w:val="28"/>
          <w:szCs w:val="28"/>
          <w:highlight w:val="white"/>
        </w:rPr>
      </w:r>
      <w:r/>
    </w:p>
    <w:p>
      <w:pPr>
        <w:pStyle w:val="940"/>
        <w:ind w:left="0" w:righ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информации, указанной в представленном ходатайстве,</w:t>
      </w:r>
      <w:r>
        <w:rPr>
          <w:rFonts w:ascii="Times New Roman" w:hAnsi="Times New Roman"/>
          <w:sz w:val="28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87523328" behindDoc="1" locked="0" layoutInCell="1" allowOverlap="1">
                <wp:simplePos x="0" y="0"/>
                <wp:positionH relativeFrom="page">
                  <wp:posOffset>3889260</wp:posOffset>
                </wp:positionH>
                <wp:positionV relativeFrom="paragraph">
                  <wp:posOffset>345089</wp:posOffset>
                </wp:positionV>
                <wp:extent cx="353060" cy="122555"/>
                <wp:effectExtent l="0" t="0" r="0" b="0"/>
                <wp:wrapNone/>
                <wp:docPr id="2" name="Text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353058" cy="122553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ind w:left="20" w:right="0" w:firstLine="0"/>
                              <w:jc w:val="left"/>
                              <w:spacing w:before="20"/>
                              <w:rPr>
                                <w:rFonts w:ascii="Courier New"/>
                                <w:sz w:val="22"/>
                              </w:rPr>
                            </w:pPr>
                            <w:r>
                              <w:rPr>
                                <w:rFonts w:ascii="Courier New"/>
                                <w:spacing w:val="-10"/>
                                <w:sz w:val="22"/>
                              </w:rPr>
                              <w:t xml:space="preserve">0</w:t>
                            </w:r>
                            <w:r>
                              <w:rPr>
                                <w:rFonts w:ascii="Courier New"/>
                                <w:sz w:val="22"/>
                              </w:rPr>
                            </w:r>
                            <w:r>
                              <w:rPr>
                                <w:rFonts w:ascii="Courier New"/>
                                <w:sz w:val="22"/>
                              </w:rPr>
                            </w:r>
                          </w:p>
                          <w:p>
                            <w:pPr>
                              <w:ind w:left="64" w:right="0" w:firstLine="0"/>
                              <w:jc w:val="left"/>
                              <w:spacing w:before="17"/>
                              <w:rPr>
                                <w:rFonts w:ascii="Courier New"/>
                                <w:sz w:val="22"/>
                              </w:rPr>
                            </w:pPr>
                            <w:r>
                              <w:rPr>
                                <w:rFonts w:ascii="Courier New"/>
                                <w:spacing w:val="-21"/>
                                <w:sz w:val="22"/>
                              </w:rPr>
                              <w:t xml:space="preserve">n::</w:t>
                            </w:r>
                            <w:r>
                              <w:rPr>
                                <w:rFonts w:ascii="Courier New"/>
                                <w:sz w:val="22"/>
                              </w:rPr>
                            </w:r>
                            <w:r>
                              <w:rPr>
                                <w:rFonts w:ascii="Courier New"/>
                                <w:sz w:val="22"/>
                              </w:rPr>
                            </w:r>
                          </w:p>
                        </w:txbxContent>
                      </wps:txbx>
                      <wps:bodyPr vert="vert270" wrap="square" lIns="36000" tIns="36000" rIns="36000" bIns="3600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" o:spid="_x0000_s1" o:spt="202" type="#_x0000_t202" style="position:absolute;z-index:-487523328;o:allowoverlap:true;o:allowincell:true;mso-position-horizontal-relative:page;margin-left:306.24pt;mso-position-horizontal:absolute;mso-position-vertical-relative:text;margin-top:27.17pt;mso-position-vertical:absolute;width:27.80pt;height:9.65pt;mso-wrap-distance-left:0.00pt;mso-wrap-distance-top:0.00pt;mso-wrap-distance-right:0.00pt;mso-wrap-distance-bottom:0.00pt;visibility:visible;" filled="f">
                <v:textbox inset="0,0,0,0">
                  <w:txbxContent>
                    <w:p>
                      <w:pPr>
                        <w:ind w:left="20" w:right="0" w:firstLine="0"/>
                        <w:jc w:val="left"/>
                        <w:spacing w:before="20"/>
                        <w:rPr>
                          <w:rFonts w:ascii="Courier New"/>
                          <w:sz w:val="22"/>
                        </w:rPr>
                      </w:pPr>
                      <w:r>
                        <w:rPr>
                          <w:rFonts w:ascii="Courier New"/>
                          <w:spacing w:val="-10"/>
                          <w:sz w:val="22"/>
                        </w:rPr>
                        <w:t xml:space="preserve">0</w:t>
                      </w:r>
                      <w:r>
                        <w:rPr>
                          <w:rFonts w:ascii="Courier New"/>
                          <w:sz w:val="22"/>
                        </w:rPr>
                      </w:r>
                      <w:r>
                        <w:rPr>
                          <w:rFonts w:ascii="Courier New"/>
                          <w:sz w:val="22"/>
                        </w:rPr>
                      </w:r>
                    </w:p>
                    <w:p>
                      <w:pPr>
                        <w:ind w:left="64" w:right="0" w:firstLine="0"/>
                        <w:jc w:val="left"/>
                        <w:spacing w:before="17"/>
                        <w:rPr>
                          <w:rFonts w:ascii="Courier New"/>
                          <w:sz w:val="22"/>
                        </w:rPr>
                      </w:pPr>
                      <w:r>
                        <w:rPr>
                          <w:rFonts w:ascii="Courier New"/>
                          <w:spacing w:val="-21"/>
                          <w:sz w:val="22"/>
                        </w:rPr>
                        <w:t xml:space="preserve">n::</w:t>
                      </w:r>
                      <w:r>
                        <w:rPr>
                          <w:rFonts w:ascii="Courier New"/>
                          <w:sz w:val="22"/>
                        </w:rPr>
                      </w:r>
                      <w:r>
                        <w:rPr>
                          <w:rFonts w:ascii="Courier New"/>
                          <w:sz w:val="22"/>
                        </w:rPr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sz w:val="28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87523840" behindDoc="1" locked="0" layoutInCell="1" allowOverlap="1">
                <wp:simplePos x="0" y="0"/>
                <wp:positionH relativeFrom="page">
                  <wp:posOffset>4149829</wp:posOffset>
                </wp:positionH>
                <wp:positionV relativeFrom="paragraph">
                  <wp:posOffset>272404</wp:posOffset>
                </wp:positionV>
                <wp:extent cx="184150" cy="129539"/>
                <wp:effectExtent l="0" t="0" r="0" b="0"/>
                <wp:wrapNone/>
                <wp:docPr id="3" name="Text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84148" cy="129537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ind w:left="20" w:right="0" w:firstLine="0"/>
                              <w:jc w:val="left"/>
                              <w:spacing w:before="20"/>
                              <w:rPr>
                                <w:rFonts w:ascii="Courier New"/>
                                <w:sz w:val="22"/>
                              </w:rPr>
                            </w:pPr>
                            <w:r>
                              <w:rPr>
                                <w:rFonts w:ascii="Courier New"/>
                                <w:spacing w:val="-7"/>
                                <w:sz w:val="22"/>
                              </w:rPr>
                              <w:t xml:space="preserve">n:</w:t>
                            </w:r>
                            <w:r>
                              <w:rPr>
                                <w:rFonts w:ascii="Courier New"/>
                                <w:sz w:val="22"/>
                              </w:rPr>
                            </w:r>
                            <w:r>
                              <w:rPr>
                                <w:rFonts w:ascii="Courier New"/>
                                <w:sz w:val="22"/>
                              </w:rPr>
                            </w:r>
                          </w:p>
                        </w:txbxContent>
                      </wps:txbx>
                      <wps:bodyPr vert="vert270" wrap="square" lIns="36000" tIns="36000" rIns="36000" bIns="3600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" o:spid="_x0000_s2" o:spt="202" type="#_x0000_t202" style="position:absolute;z-index:-487523840;o:allowoverlap:true;o:allowincell:true;mso-position-horizontal-relative:page;margin-left:326.76pt;mso-position-horizontal:absolute;mso-position-vertical-relative:text;margin-top:21.45pt;mso-position-vertical:absolute;width:14.50pt;height:10.20pt;mso-wrap-distance-left:0.00pt;mso-wrap-distance-top:0.00pt;mso-wrap-distance-right:0.00pt;mso-wrap-distance-bottom:0.00pt;visibility:visible;" filled="f">
                <v:textbox inset="0,0,0,0">
                  <w:txbxContent>
                    <w:p>
                      <w:pPr>
                        <w:ind w:left="20" w:right="0" w:firstLine="0"/>
                        <w:jc w:val="left"/>
                        <w:spacing w:before="20"/>
                        <w:rPr>
                          <w:rFonts w:ascii="Courier New"/>
                          <w:sz w:val="22"/>
                        </w:rPr>
                      </w:pPr>
                      <w:r>
                        <w:rPr>
                          <w:rFonts w:ascii="Courier New"/>
                          <w:spacing w:val="-7"/>
                          <w:sz w:val="22"/>
                        </w:rPr>
                        <w:t xml:space="preserve">n:</w:t>
                      </w:r>
                      <w:r>
                        <w:rPr>
                          <w:rFonts w:ascii="Courier New"/>
                          <w:sz w:val="22"/>
                        </w:rPr>
                      </w:r>
                      <w:r>
                        <w:rPr>
                          <w:rFonts w:ascii="Courier New"/>
                          <w:sz w:val="22"/>
                        </w:rPr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sz w:val="28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87524352" behindDoc="1" locked="0" layoutInCell="1" allowOverlap="1">
                <wp:simplePos x="0" y="0"/>
                <wp:positionH relativeFrom="page">
                  <wp:posOffset>4235256</wp:posOffset>
                </wp:positionH>
                <wp:positionV relativeFrom="paragraph">
                  <wp:posOffset>353948</wp:posOffset>
                </wp:positionV>
                <wp:extent cx="198120" cy="100965"/>
                <wp:effectExtent l="0" t="0" r="0" b="0"/>
                <wp:wrapNone/>
                <wp:docPr id="4" name="Text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98118" cy="100963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ind w:left="20" w:right="0" w:firstLine="0"/>
                              <w:jc w:val="left"/>
                              <w:spacing w:before="20"/>
                              <w:rPr>
                                <w:rFonts w:ascii="Courier New"/>
                                <w:sz w:val="24"/>
                              </w:rPr>
                            </w:pPr>
                            <w:r>
                              <w:rPr>
                                <w:rFonts w:ascii="Courier New"/>
                                <w:spacing w:val="-10"/>
                                <w:sz w:val="24"/>
                              </w:rPr>
                              <w:t xml:space="preserve">0</w:t>
                            </w:r>
                            <w:r>
                              <w:rPr>
                                <w:rFonts w:ascii="Courier New"/>
                                <w:sz w:val="24"/>
                              </w:rPr>
                            </w:r>
                            <w:r>
                              <w:rPr>
                                <w:rFonts w:ascii="Courier New"/>
                                <w:sz w:val="24"/>
                              </w:rPr>
                            </w:r>
                          </w:p>
                        </w:txbxContent>
                      </wps:txbx>
                      <wps:bodyPr vert="vert270" wrap="square" lIns="36000" tIns="36000" rIns="36000" bIns="3600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" o:spid="_x0000_s3" o:spt="202" type="#_x0000_t202" style="position:absolute;z-index:-487524352;o:allowoverlap:true;o:allowincell:true;mso-position-horizontal-relative:page;margin-left:333.48pt;mso-position-horizontal:absolute;mso-position-vertical-relative:text;margin-top:27.87pt;mso-position-vertical:absolute;width:15.60pt;height:7.95pt;mso-wrap-distance-left:0.00pt;mso-wrap-distance-top:0.00pt;mso-wrap-distance-right:0.00pt;mso-wrap-distance-bottom:0.00pt;visibility:visible;" filled="f">
                <v:textbox inset="0,0,0,0">
                  <w:txbxContent>
                    <w:p>
                      <w:pPr>
                        <w:ind w:left="20" w:right="0" w:firstLine="0"/>
                        <w:jc w:val="left"/>
                        <w:spacing w:before="20"/>
                        <w:rPr>
                          <w:rFonts w:ascii="Courier New"/>
                          <w:sz w:val="24"/>
                        </w:rPr>
                      </w:pPr>
                      <w:r>
                        <w:rPr>
                          <w:rFonts w:ascii="Courier New"/>
                          <w:spacing w:val="-10"/>
                          <w:sz w:val="24"/>
                        </w:rPr>
                        <w:t xml:space="preserve">0</w:t>
                      </w:r>
                      <w:r>
                        <w:rPr>
                          <w:rFonts w:ascii="Courier New"/>
                          <w:sz w:val="24"/>
                        </w:rPr>
                      </w:r>
                      <w:r>
                        <w:rPr>
                          <w:rFonts w:ascii="Courier New"/>
                          <w:sz w:val="24"/>
                        </w:rPr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земельный участок с кадастровым номером </w:t>
      </w:r>
      <w:r>
        <w:rPr>
          <w:sz w:val="28"/>
          <w:szCs w:val="28"/>
        </w:rPr>
        <w:t xml:space="preserve">54:19:093601:692,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видом разрешенного использования - туристическое обслуживание (5.2.1), рассматривается </w:t>
      </w:r>
      <w:r>
        <w:rPr>
          <w:sz w:val="28"/>
          <w:szCs w:val="28"/>
        </w:rPr>
        <w:t xml:space="preserve">администрацией Новосибирского района Новосибирской области с</w:t>
      </w:r>
      <w:r>
        <w:rPr>
          <w:sz w:val="28"/>
          <w:szCs w:val="28"/>
        </w:rPr>
        <w:t xml:space="preserve"> целью инвестиционного развития Новосибирского района в сфере туризма.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940"/>
        <w:ind w:left="0" w:right="0" w:firstLine="709"/>
        <w:jc w:val="both"/>
        <w:rPr>
          <w:sz w:val="28"/>
          <w:szCs w:val="28"/>
          <w:highlight w:val="none"/>
        </w:rPr>
      </w:pPr>
      <w:r>
        <w:rPr>
          <w:sz w:val="28"/>
          <w:szCs w:val="28"/>
          <w:highlight w:val="none"/>
        </w:rPr>
        <w:t xml:space="preserve">Использование территории будет возможно лишь после </w:t>
      </w:r>
      <w:r>
        <w:rPr>
          <w:sz w:val="28"/>
          <w:szCs w:val="28"/>
          <w:highlight w:val="none"/>
        </w:rPr>
        <w:t xml:space="preserve">установления соответствия категории и разрешенного использования документам</w:t>
      </w:r>
      <w:r>
        <w:rPr>
          <w:sz w:val="28"/>
          <w:szCs w:val="28"/>
          <w:highlight w:val="none"/>
        </w:rPr>
        <w:t xml:space="preserve"> </w:t>
      </w:r>
      <w:r>
        <w:rPr>
          <w:sz w:val="28"/>
          <w:szCs w:val="28"/>
          <w:highlight w:val="none"/>
        </w:rPr>
        <w:t xml:space="preserve">территориального планирования</w:t>
      </w:r>
      <w:r>
        <w:rPr>
          <w:sz w:val="28"/>
          <w:szCs w:val="28"/>
          <w:highlight w:val="none"/>
        </w:rPr>
        <w:t xml:space="preserve">.</w:t>
      </w:r>
      <w:r>
        <w:rPr>
          <w:sz w:val="28"/>
          <w:szCs w:val="28"/>
          <w:highlight w:val="none"/>
        </w:rPr>
      </w:r>
      <w:r>
        <w:rPr>
          <w:sz w:val="28"/>
          <w:szCs w:val="28"/>
          <w:highlight w:val="none"/>
        </w:rPr>
      </w:r>
    </w:p>
    <w:p>
      <w:pPr>
        <w:pStyle w:val="940"/>
        <w:ind w:left="0" w:right="0" w:firstLine="709"/>
        <w:jc w:val="both"/>
      </w:pPr>
      <w:r>
        <w:rPr>
          <w:sz w:val="28"/>
          <w:szCs w:val="28"/>
          <w:highlight w:val="none"/>
        </w:rPr>
        <w:t xml:space="preserve">Постановлением администрации Кубовинского сельсовета Новосибирского </w:t>
      </w:r>
      <w:r>
        <w:rPr>
          <w:sz w:val="28"/>
          <w:szCs w:val="28"/>
          <w:highlight w:val="none"/>
        </w:rPr>
        <w:t xml:space="preserve">района </w:t>
      </w:r>
      <w:r>
        <w:rPr>
          <w:sz w:val="28"/>
          <w:szCs w:val="28"/>
        </w:rPr>
        <w:t xml:space="preserve">Новосибирской области </w:t>
      </w:r>
      <w:r>
        <w:rPr>
          <w:sz w:val="28"/>
          <w:szCs w:val="28"/>
          <w:highlight w:val="none"/>
        </w:rPr>
        <w:t xml:space="preserve">от</w:t>
      </w:r>
      <w:r>
        <w:rPr>
          <w:color w:val="000000"/>
          <w:sz w:val="28"/>
          <w:szCs w:val="28"/>
          <w:highlight w:val="white"/>
        </w:rPr>
        <w:t xml:space="preserve"> </w:t>
      </w:r>
      <w:r>
        <w:rPr>
          <w:sz w:val="28"/>
          <w:szCs w:val="28"/>
          <w:highlight w:val="none"/>
        </w:rPr>
        <w:t xml:space="preserve">03.02.2026 </w:t>
      </w:r>
      <w:r>
        <w:rPr>
          <w:sz w:val="28"/>
          <w:szCs w:val="28"/>
          <w:highlight w:val="none"/>
        </w:rPr>
        <w:t xml:space="preserve">№</w:t>
      </w:r>
      <w:r>
        <w:rPr>
          <w:color w:val="000000"/>
          <w:sz w:val="28"/>
          <w:szCs w:val="28"/>
          <w:highlight w:val="white"/>
        </w:rPr>
        <w:t xml:space="preserve"> </w:t>
      </w:r>
      <w:r>
        <w:rPr>
          <w:sz w:val="28"/>
          <w:szCs w:val="28"/>
          <w:highlight w:val="none"/>
        </w:rPr>
        <w:t xml:space="preserve">25 </w:t>
      </w:r>
      <w:r>
        <w:rPr>
          <w:sz w:val="28"/>
          <w:szCs w:val="28"/>
          <w:highlight w:val="none"/>
        </w:rPr>
        <w:t xml:space="preserve">«Об отнесении земельных участков к землям особо</w:t>
      </w:r>
      <w:r>
        <w:rPr>
          <w:sz w:val="28"/>
          <w:szCs w:val="28"/>
          <w:highlight w:val="none"/>
        </w:rPr>
        <w:t xml:space="preserve"> </w:t>
      </w:r>
      <w:r>
        <w:rPr>
          <w:sz w:val="28"/>
          <w:szCs w:val="28"/>
          <w:highlight w:val="none"/>
        </w:rPr>
        <w:t xml:space="preserve">охраняемых территорий и создания на них особо охраняемой территории» принято</w:t>
      </w:r>
      <w:r>
        <w:rPr>
          <w:sz w:val="28"/>
          <w:szCs w:val="28"/>
          <w:highlight w:val="none"/>
        </w:rPr>
        <w:t xml:space="preserve"> </w:t>
      </w:r>
      <w:r>
        <w:rPr>
          <w:sz w:val="28"/>
          <w:szCs w:val="28"/>
          <w:highlight w:val="none"/>
        </w:rPr>
        <w:t xml:space="preserve">решение об отнесении, в том числе земельного участка с кадастровым номером </w:t>
      </w:r>
      <w:r>
        <w:rPr>
          <w:sz w:val="28"/>
          <w:szCs w:val="28"/>
          <w:highlight w:val="none"/>
        </w:rPr>
        <w:t xml:space="preserve">54:19:093601:692, к землям особо охраняемых территорий и создании на них особо</w:t>
      </w:r>
      <w:r>
        <w:rPr>
          <w:sz w:val="28"/>
          <w:szCs w:val="28"/>
          <w:highlight w:val="none"/>
        </w:rPr>
        <w:t xml:space="preserve"> </w:t>
      </w:r>
      <w:r>
        <w:rPr>
          <w:sz w:val="28"/>
          <w:szCs w:val="28"/>
          <w:highlight w:val="none"/>
        </w:rPr>
        <w:t xml:space="preserve">охраняемой территории рекреационного назначения, предназначенных для</w:t>
      </w:r>
      <w:r>
        <w:rPr>
          <w:sz w:val="28"/>
          <w:szCs w:val="28"/>
          <w:highlight w:val="none"/>
        </w:rPr>
        <w:t xml:space="preserve"> </w:t>
      </w:r>
      <w:r>
        <w:rPr>
          <w:sz w:val="28"/>
          <w:szCs w:val="28"/>
          <w:highlight w:val="none"/>
        </w:rPr>
        <w:t xml:space="preserve">организации отдыха, туризма, физкультурно-оздоровительной и спортивной </w:t>
      </w:r>
      <w:r>
        <w:rPr>
          <w:sz w:val="28"/>
          <w:szCs w:val="28"/>
          <w:highlight w:val="none"/>
        </w:rPr>
        <w:t xml:space="preserve">деятельности граждан.</w:t>
      </w:r>
      <w:r>
        <w:rPr>
          <w:sz w:val="28"/>
          <w:szCs w:val="28"/>
          <w:highlight w:val="none"/>
        </w:rPr>
      </w:r>
      <w:r/>
    </w:p>
    <w:p>
      <w:pPr>
        <w:pStyle w:val="940"/>
        <w:ind w:left="0" w:right="0" w:firstLine="709"/>
        <w:jc w:val="both"/>
      </w:pPr>
      <w:r>
        <w:rPr>
          <w:sz w:val="28"/>
          <w:szCs w:val="28"/>
          <w:highlight w:val="none"/>
        </w:rPr>
        <w:t xml:space="preserve">При рациональном использовании данной территории будут привлечены </w:t>
      </w:r>
      <w:r>
        <w:rPr>
          <w:sz w:val="28"/>
          <w:szCs w:val="28"/>
          <w:highlight w:val="none"/>
        </w:rPr>
        <w:t xml:space="preserve">дополнительные инвестиции в экономику района, организованы условия для</w:t>
      </w:r>
      <w:r>
        <w:rPr>
          <w:color w:val="000000"/>
          <w:sz w:val="28"/>
          <w:szCs w:val="28"/>
          <w:highlight w:val="white"/>
        </w:rPr>
        <w:t xml:space="preserve"> </w:t>
      </w:r>
      <w:r>
        <w:rPr>
          <w:sz w:val="28"/>
          <w:szCs w:val="28"/>
          <w:highlight w:val="none"/>
        </w:rPr>
        <w:t xml:space="preserve">отдыха </w:t>
      </w:r>
      <w:r>
        <w:rPr>
          <w:sz w:val="28"/>
          <w:szCs w:val="28"/>
          <w:highlight w:val="none"/>
        </w:rPr>
        <w:t xml:space="preserve">жителей и гостей района, что повлечет создание новых рабочих мест, образование</w:t>
      </w:r>
      <w:r>
        <w:rPr>
          <w:sz w:val="28"/>
          <w:szCs w:val="28"/>
          <w:highlight w:val="none"/>
        </w:rPr>
        <w:t xml:space="preserve"> </w:t>
      </w:r>
      <w:r>
        <w:rPr>
          <w:sz w:val="28"/>
          <w:szCs w:val="28"/>
          <w:highlight w:val="none"/>
        </w:rPr>
        <w:t xml:space="preserve">новых объектов налогообложения и пополнение доходной части бюджета за счет</w:t>
      </w:r>
      <w:r>
        <w:rPr>
          <w:sz w:val="28"/>
          <w:szCs w:val="28"/>
          <w:highlight w:val="none"/>
        </w:rPr>
        <w:t xml:space="preserve"> </w:t>
      </w:r>
      <w:r>
        <w:rPr>
          <w:sz w:val="28"/>
          <w:szCs w:val="28"/>
          <w:highlight w:val="none"/>
        </w:rPr>
        <w:t xml:space="preserve">налоговых отчислений.</w:t>
      </w:r>
      <w:r>
        <w:rPr>
          <w:sz w:val="28"/>
          <w:szCs w:val="28"/>
          <w:highlight w:val="none"/>
        </w:rPr>
      </w:r>
      <w:r/>
    </w:p>
    <w:p>
      <w:pPr>
        <w:pStyle w:val="940"/>
        <w:ind w:left="0" w:right="0" w:firstLine="709"/>
        <w:jc w:val="both"/>
      </w:pPr>
      <w:r>
        <w:rPr>
          <w:sz w:val="28"/>
          <w:szCs w:val="28"/>
          <w:highlight w:val="none"/>
        </w:rPr>
        <w:t xml:space="preserve">Указанная территория включена в перечень </w:t>
      </w:r>
      <w:r>
        <w:rPr>
          <w:sz w:val="28"/>
          <w:szCs w:val="28"/>
          <w:highlight w:val="none"/>
        </w:rPr>
        <w:t xml:space="preserve">свободных земельных участков, возможных к вовлечению в туристическую</w:t>
      </w:r>
      <w:r>
        <w:rPr>
          <w:sz w:val="28"/>
          <w:szCs w:val="28"/>
          <w:highlight w:val="none"/>
        </w:rPr>
        <w:t xml:space="preserve"> </w:t>
      </w:r>
      <w:r>
        <w:rPr>
          <w:sz w:val="28"/>
          <w:szCs w:val="28"/>
          <w:highlight w:val="none"/>
        </w:rPr>
        <w:t xml:space="preserve">деятельность, в рамках исполнения пункта 3 раздела IV протокола заседания</w:t>
      </w:r>
      <w:r>
        <w:rPr>
          <w:sz w:val="28"/>
          <w:szCs w:val="28"/>
          <w:highlight w:val="none"/>
        </w:rPr>
        <w:t xml:space="preserve"> </w:t>
      </w:r>
      <w:r>
        <w:rPr>
          <w:sz w:val="28"/>
          <w:szCs w:val="28"/>
          <w:highlight w:val="none"/>
        </w:rPr>
        <w:t xml:space="preserve">президиума (штаба) Правительственной комиссии по региональному развитию в</w:t>
      </w:r>
      <w:r>
        <w:rPr>
          <w:sz w:val="28"/>
          <w:szCs w:val="28"/>
          <w:highlight w:val="none"/>
        </w:rPr>
        <w:t xml:space="preserve"> </w:t>
      </w:r>
      <w:r>
        <w:rPr>
          <w:sz w:val="28"/>
          <w:szCs w:val="28"/>
          <w:highlight w:val="none"/>
        </w:rPr>
        <w:t xml:space="preserve">Российской Федерации под</w:t>
      </w:r>
      <w:r>
        <w:rPr>
          <w:color w:val="000000"/>
          <w:sz w:val="28"/>
          <w:szCs w:val="28"/>
          <w:highlight w:val="white"/>
        </w:rPr>
        <w:t xml:space="preserve"> </w:t>
      </w:r>
      <w:r>
        <w:rPr>
          <w:sz w:val="28"/>
          <w:szCs w:val="28"/>
          <w:highlight w:val="none"/>
        </w:rPr>
        <w:t xml:space="preserve">председательством Заместителя Председателя</w:t>
      </w:r>
      <w:r>
        <w:rPr>
          <w:sz w:val="28"/>
          <w:szCs w:val="28"/>
          <w:highlight w:val="none"/>
        </w:rPr>
        <w:t xml:space="preserve"> </w:t>
      </w:r>
      <w:r>
        <w:rPr>
          <w:sz w:val="28"/>
          <w:szCs w:val="28"/>
          <w:highlight w:val="none"/>
        </w:rPr>
        <w:t xml:space="preserve">Правительства Российской Федерации Хуснуллина М.Ш. от 29.07.2021 № 33 о</w:t>
      </w:r>
      <w:r>
        <w:rPr>
          <w:sz w:val="28"/>
          <w:szCs w:val="28"/>
          <w:highlight w:val="none"/>
        </w:rPr>
        <w:t xml:space="preserve"> </w:t>
      </w:r>
      <w:r>
        <w:rPr>
          <w:sz w:val="28"/>
          <w:szCs w:val="28"/>
          <w:highlight w:val="none"/>
        </w:rPr>
        <w:t xml:space="preserve">реализации проекта «Земля для туризма», а также является перспективной для</w:t>
      </w:r>
      <w:r>
        <w:rPr>
          <w:sz w:val="28"/>
          <w:szCs w:val="28"/>
          <w:highlight w:val="none"/>
        </w:rPr>
        <w:t xml:space="preserve"> </w:t>
      </w:r>
      <w:r>
        <w:rPr>
          <w:sz w:val="28"/>
          <w:szCs w:val="28"/>
          <w:highlight w:val="none"/>
        </w:rPr>
        <w:t xml:space="preserve">реализации инвестиционных проектов в рамках кластера «Обские парки».</w:t>
      </w:r>
      <w:r>
        <w:rPr>
          <w:sz w:val="28"/>
          <w:szCs w:val="28"/>
          <w:highlight w:val="none"/>
        </w:rPr>
      </w:r>
      <w:r/>
    </w:p>
    <w:p>
      <w:pPr>
        <w:pStyle w:val="940"/>
        <w:ind w:left="0" w:right="0" w:firstLine="709"/>
        <w:jc w:val="both"/>
      </w:pPr>
      <w:r>
        <w:rPr>
          <w:sz w:val="28"/>
          <w:szCs w:val="28"/>
          <w:highlight w:val="none"/>
        </w:rPr>
        <w:t xml:space="preserve">Перевод данного земельного участка отражает основные идеи</w:t>
      </w:r>
      <w:r>
        <w:rPr>
          <w:sz w:val="28"/>
          <w:szCs w:val="28"/>
          <w:highlight w:val="none"/>
        </w:rPr>
        <w:t xml:space="preserve"> </w:t>
      </w:r>
      <w:r>
        <w:rPr>
          <w:sz w:val="28"/>
          <w:szCs w:val="28"/>
          <w:highlight w:val="none"/>
        </w:rPr>
        <w:t xml:space="preserve">нацпроекта России «Туризм и индустрия гостеприимства» и соответствует</w:t>
      </w:r>
      <w:r>
        <w:rPr>
          <w:sz w:val="28"/>
          <w:szCs w:val="28"/>
          <w:highlight w:val="none"/>
        </w:rPr>
        <w:t xml:space="preserve"> </w:t>
      </w:r>
      <w:r>
        <w:rPr>
          <w:sz w:val="28"/>
          <w:szCs w:val="28"/>
          <w:highlight w:val="none"/>
        </w:rPr>
        <w:t xml:space="preserve">перспективным направлениям инвестиционной деятельности Новосибирской</w:t>
      </w:r>
      <w:r>
        <w:rPr>
          <w:sz w:val="28"/>
          <w:szCs w:val="28"/>
          <w:highlight w:val="none"/>
        </w:rPr>
        <w:t xml:space="preserve"> </w:t>
      </w:r>
      <w:r>
        <w:rPr>
          <w:sz w:val="28"/>
          <w:szCs w:val="28"/>
          <w:highlight w:val="none"/>
        </w:rPr>
        <w:t xml:space="preserve">области, утвержденных постановлением Правительства Новосибирской области от</w:t>
      </w:r>
      <w:r>
        <w:rPr>
          <w:color w:val="000000"/>
          <w:sz w:val="28"/>
          <w:szCs w:val="28"/>
          <w:highlight w:val="white"/>
        </w:rPr>
        <w:t xml:space="preserve"> </w:t>
      </w:r>
      <w:r>
        <w:rPr>
          <w:sz w:val="28"/>
          <w:szCs w:val="28"/>
          <w:highlight w:val="none"/>
        </w:rPr>
        <w:t xml:space="preserve">29.09.2011 №</w:t>
      </w:r>
      <w:r>
        <w:rPr>
          <w:color w:val="000000"/>
          <w:sz w:val="28"/>
          <w:szCs w:val="28"/>
          <w:highlight w:val="white"/>
        </w:rPr>
        <w:t xml:space="preserve"> </w:t>
      </w:r>
      <w:r>
        <w:rPr>
          <w:sz w:val="28"/>
          <w:szCs w:val="28"/>
          <w:highlight w:val="none"/>
        </w:rPr>
        <w:t xml:space="preserve">418-п «О перспективных направлениях инвестиционной деятельности и</w:t>
      </w:r>
      <w:r>
        <w:rPr>
          <w:sz w:val="28"/>
          <w:szCs w:val="28"/>
          <w:highlight w:val="none"/>
        </w:rPr>
        <w:t xml:space="preserve"> </w:t>
      </w:r>
      <w:r>
        <w:rPr>
          <w:sz w:val="28"/>
          <w:szCs w:val="28"/>
          <w:highlight w:val="none"/>
        </w:rPr>
        <w:t xml:space="preserve">нормативных значениях показателей бюджетной эффективности», а именно:</w:t>
      </w:r>
      <w:r>
        <w:rPr>
          <w:sz w:val="28"/>
          <w:szCs w:val="28"/>
          <w:highlight w:val="none"/>
        </w:rPr>
        <w:t xml:space="preserve"> </w:t>
      </w:r>
      <w:r>
        <w:rPr>
          <w:sz w:val="28"/>
          <w:szCs w:val="28"/>
          <w:highlight w:val="none"/>
        </w:rPr>
        <w:t xml:space="preserve">модернизация, расширение или создание общественно значимых объектов в сфере</w:t>
      </w:r>
      <w:r>
        <w:rPr>
          <w:sz w:val="28"/>
          <w:szCs w:val="28"/>
          <w:highlight w:val="none"/>
        </w:rPr>
        <w:t xml:space="preserve"> </w:t>
      </w:r>
      <w:r>
        <w:rPr>
          <w:sz w:val="28"/>
          <w:szCs w:val="28"/>
          <w:highlight w:val="none"/>
        </w:rPr>
        <w:t xml:space="preserve">туризма.</w:t>
      </w:r>
      <w:r>
        <w:rPr>
          <w:sz w:val="28"/>
          <w:szCs w:val="28"/>
          <w:highlight w:val="none"/>
        </w:rPr>
      </w:r>
      <w:r/>
    </w:p>
    <w:p>
      <w:pPr>
        <w:pStyle w:val="940"/>
        <w:ind w:left="0" w:right="0" w:firstLine="709"/>
        <w:jc w:val="both"/>
        <w:rPr>
          <w:sz w:val="28"/>
          <w:szCs w:val="28"/>
          <w:highlight w:val="none"/>
        </w:rPr>
      </w:pPr>
      <w:r>
        <w:rPr>
          <w:sz w:val="28"/>
          <w:szCs w:val="28"/>
          <w:highlight w:val="none"/>
        </w:rPr>
        <w:t xml:space="preserve">Земельный участок находится рядом с поселком Бибиха Кубовинского </w:t>
      </w:r>
      <w:r>
        <w:rPr>
          <w:sz w:val="28"/>
          <w:szCs w:val="28"/>
          <w:highlight w:val="none"/>
        </w:rPr>
        <w:t xml:space="preserve">сельсовета Новосибирского района </w:t>
      </w:r>
      <w:r>
        <w:rPr>
          <w:sz w:val="28"/>
          <w:szCs w:val="28"/>
          <w:highlight w:val="none"/>
        </w:rPr>
        <w:t xml:space="preserve">Новосибирской</w:t>
      </w:r>
      <w:r>
        <w:rPr>
          <w:sz w:val="28"/>
          <w:szCs w:val="28"/>
          <w:highlight w:val="none"/>
        </w:rPr>
        <w:t xml:space="preserve"> </w:t>
      </w:r>
      <w:r>
        <w:rPr>
          <w:sz w:val="28"/>
          <w:szCs w:val="28"/>
          <w:highlight w:val="none"/>
        </w:rPr>
        <w:t xml:space="preserve">области</w:t>
      </w:r>
      <w:r>
        <w:rPr>
          <w:sz w:val="28"/>
          <w:szCs w:val="28"/>
          <w:highlight w:val="none"/>
        </w:rPr>
        <w:t xml:space="preserve">, имеет выход к воде (берег  реки  Обь),  расположен</w:t>
      </w:r>
      <w:r>
        <w:rPr>
          <w:sz w:val="28"/>
          <w:szCs w:val="28"/>
          <w:highlight w:val="none"/>
        </w:rPr>
        <w:t xml:space="preserve">  </w:t>
      </w:r>
      <w:r>
        <w:rPr>
          <w:sz w:val="28"/>
          <w:szCs w:val="28"/>
          <w:highlight w:val="none"/>
        </w:rPr>
        <w:t xml:space="preserve">рядом  с  сосновым  лесом  и  обладают  высокой </w:t>
      </w:r>
      <w:r>
        <w:rPr>
          <w:sz w:val="28"/>
          <w:szCs w:val="28"/>
          <w:highlight w:val="none"/>
        </w:rPr>
      </w:r>
      <w:r>
        <w:rPr>
          <w:sz w:val="28"/>
          <w:szCs w:val="28"/>
          <w:highlight w:val="none"/>
        </w:rPr>
      </w:r>
      <w:r>
        <w:rPr>
          <w:sz w:val="28"/>
          <w:szCs w:val="28"/>
          <w:highlight w:val="none"/>
        </w:rPr>
      </w:r>
      <w:r>
        <w:rPr>
          <w:sz w:val="28"/>
          <w:szCs w:val="28"/>
          <w:highlight w:val="none"/>
        </w:rPr>
      </w:r>
      <w:r>
        <w:rPr>
          <w:sz w:val="28"/>
          <w:szCs w:val="28"/>
          <w:highlight w:val="none"/>
        </w:rPr>
      </w:r>
      <w:r/>
      <w:r/>
      <w:r>
        <w:rPr>
          <w:sz w:val="28"/>
          <w:szCs w:val="28"/>
          <w:highlight w:val="none"/>
        </w:rPr>
      </w:r>
      <w:r>
        <w:rPr>
          <w:sz w:val="28"/>
          <w:szCs w:val="28"/>
          <w:highlight w:val="none"/>
        </w:rPr>
      </w:r>
      <w:r>
        <w:rPr>
          <w:sz w:val="28"/>
          <w:szCs w:val="28"/>
          <w:highlight w:val="none"/>
        </w:rPr>
      </w:r>
      <w:r>
        <w:rPr>
          <w:sz w:val="28"/>
          <w:szCs w:val="28"/>
          <w:highlight w:val="none"/>
        </w:rPr>
      </w:r>
    </w:p>
    <w:p>
      <w:pPr>
        <w:pStyle w:val="940"/>
        <w:ind w:left="0" w:right="0" w:firstLine="709"/>
        <w:jc w:val="both"/>
        <w:rPr>
          <w:sz w:val="28"/>
          <w:szCs w:val="28"/>
          <w:highlight w:val="none"/>
        </w:rPr>
      </w:pPr>
      <w:r>
        <w:rPr>
          <w:sz w:val="28"/>
          <w:szCs w:val="28"/>
          <w:highlight w:val="none"/>
        </w:rPr>
      </w:r>
      <w:r>
        <w:rPr>
          <w:sz w:val="28"/>
          <w:szCs w:val="28"/>
          <w:highlight w:val="none"/>
        </w:rPr>
      </w:r>
    </w:p>
    <w:p>
      <w:pPr>
        <w:pStyle w:val="940"/>
        <w:ind w:left="0" w:right="0" w:firstLine="0"/>
        <w:jc w:val="both"/>
        <w:rPr>
          <w:sz w:val="28"/>
          <w:szCs w:val="28"/>
          <w:highlight w:val="none"/>
        </w:rPr>
      </w:pPr>
      <w:r>
        <w:rPr>
          <w:sz w:val="28"/>
          <w:szCs w:val="28"/>
          <w:highlight w:val="none"/>
        </w:rPr>
        <w:t xml:space="preserve">эстетической ценностью, что делает его</w:t>
      </w:r>
      <w:r>
        <w:rPr>
          <w:sz w:val="28"/>
          <w:szCs w:val="28"/>
          <w:highlight w:val="none"/>
        </w:rPr>
        <w:t xml:space="preserve"> </w:t>
      </w:r>
      <w:r>
        <w:rPr>
          <w:sz w:val="28"/>
          <w:szCs w:val="28"/>
          <w:highlight w:val="none"/>
        </w:rPr>
        <w:t xml:space="preserve">привлекательным для рекреационных и туристических целей.</w:t>
      </w:r>
      <w:r/>
      <w:r/>
    </w:p>
    <w:p>
      <w:pPr>
        <w:pStyle w:val="940"/>
        <w:ind w:left="0" w:right="0" w:firstLine="709"/>
        <w:jc w:val="both"/>
      </w:pPr>
      <w:r>
        <w:rPr>
          <w:sz w:val="28"/>
          <w:szCs w:val="28"/>
          <w:highlight w:val="none"/>
        </w:rPr>
        <w:t xml:space="preserve">В условиях растущей плотности населения города Новосибирска потребность в </w:t>
      </w:r>
      <w:r>
        <w:rPr>
          <w:sz w:val="28"/>
          <w:szCs w:val="28"/>
          <w:highlight w:val="none"/>
        </w:rPr>
        <w:t xml:space="preserve">доступных и благоустроенных зонах для отдыха и восстановления сил значительно</w:t>
      </w:r>
      <w:r>
        <w:rPr>
          <w:sz w:val="28"/>
          <w:szCs w:val="28"/>
          <w:highlight w:val="none"/>
        </w:rPr>
        <w:t xml:space="preserve"> </w:t>
      </w:r>
      <w:r>
        <w:rPr>
          <w:sz w:val="28"/>
          <w:szCs w:val="28"/>
          <w:highlight w:val="none"/>
        </w:rPr>
        <w:t xml:space="preserve">возрастает. Данный участок подходит для удовлетворения этой потребности и</w:t>
      </w:r>
      <w:r>
        <w:rPr>
          <w:sz w:val="28"/>
          <w:szCs w:val="28"/>
          <w:highlight w:val="none"/>
        </w:rPr>
        <w:t xml:space="preserve"> </w:t>
      </w:r>
      <w:r>
        <w:rPr>
          <w:sz w:val="28"/>
          <w:szCs w:val="28"/>
          <w:highlight w:val="none"/>
        </w:rPr>
        <w:t xml:space="preserve">привлечения инвесторов туристической сферы.</w:t>
      </w:r>
      <w:r>
        <w:rPr>
          <w:sz w:val="28"/>
          <w:szCs w:val="28"/>
          <w:highlight w:val="none"/>
        </w:rPr>
      </w:r>
      <w:r/>
    </w:p>
    <w:p>
      <w:pPr>
        <w:pStyle w:val="940"/>
        <w:ind w:left="0" w:right="0" w:firstLine="709"/>
        <w:jc w:val="both"/>
      </w:pPr>
      <w:r>
        <w:rPr>
          <w:sz w:val="28"/>
          <w:szCs w:val="28"/>
          <w:highlight w:val="none"/>
        </w:rPr>
        <w:t xml:space="preserve">Сохранение природных ландшафтов создаст основу для развития </w:t>
      </w:r>
      <w:r>
        <w:rPr>
          <w:sz w:val="28"/>
          <w:szCs w:val="28"/>
          <w:highlight w:val="none"/>
        </w:rPr>
        <w:t xml:space="preserve">экологического туризма, который является перспективным направлением, </w:t>
      </w:r>
      <w:r>
        <w:rPr>
          <w:sz w:val="28"/>
          <w:szCs w:val="28"/>
          <w:highlight w:val="none"/>
        </w:rPr>
        <w:t xml:space="preserve">способствующим экономическому развитию Новосибирской области за счет </w:t>
      </w:r>
      <w:r>
        <w:rPr>
          <w:sz w:val="28"/>
          <w:szCs w:val="28"/>
          <w:highlight w:val="none"/>
        </w:rPr>
        <w:t xml:space="preserve">привлечения туристов, создания малых предприятий (гостевые дома, точки питания,</w:t>
      </w:r>
      <w:r>
        <w:rPr>
          <w:sz w:val="28"/>
          <w:szCs w:val="28"/>
          <w:highlight w:val="none"/>
        </w:rPr>
        <w:t xml:space="preserve"> </w:t>
      </w:r>
      <w:r>
        <w:rPr>
          <w:sz w:val="28"/>
          <w:szCs w:val="28"/>
          <w:highlight w:val="none"/>
        </w:rPr>
        <w:t xml:space="preserve">экскурсионные бюро и т.д.) и сохранения местных традиций.</w:t>
      </w:r>
      <w:r>
        <w:rPr>
          <w:sz w:val="28"/>
          <w:szCs w:val="28"/>
          <w:highlight w:val="none"/>
        </w:rPr>
      </w:r>
      <w:r/>
    </w:p>
    <w:p>
      <w:pPr>
        <w:pStyle w:val="911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Земельный участок с кадастровым номером </w:t>
      </w:r>
      <w:r>
        <w:rPr>
          <w:sz w:val="28"/>
          <w:szCs w:val="28"/>
          <w:highlight w:val="none"/>
        </w:rPr>
        <w:t xml:space="preserve">54:19:093601:692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находится в</w:t>
      </w:r>
      <w:r>
        <w:rPr>
          <w:rFonts w:ascii="Times New Roman" w:hAnsi="Times New Roman" w:cs="Times New Roman"/>
          <w:color w:val="101010"/>
          <w:sz w:val="28"/>
          <w:szCs w:val="28"/>
          <w:shd w:val="clear" w:color="auto" w:fill="ffffff"/>
        </w:rPr>
        <w:t xml:space="preserve"> </w:t>
      </w:r>
      <w:r>
        <w:rPr>
          <w:sz w:val="28"/>
          <w:szCs w:val="28"/>
        </w:rPr>
        <w:t xml:space="preserve">муниципальной собственности </w:t>
      </w:r>
      <w:r>
        <w:rPr>
          <w:sz w:val="28"/>
          <w:szCs w:val="28"/>
          <w:highlight w:val="none"/>
        </w:rPr>
        <w:t xml:space="preserve">Новосибирского района </w:t>
      </w:r>
      <w:r>
        <w:rPr>
          <w:sz w:val="28"/>
          <w:szCs w:val="28"/>
          <w:highlight w:val="none"/>
        </w:rPr>
        <w:t xml:space="preserve">Новосибирской</w:t>
      </w:r>
      <w:r>
        <w:rPr>
          <w:sz w:val="28"/>
          <w:szCs w:val="28"/>
          <w:highlight w:val="none"/>
        </w:rPr>
        <w:t xml:space="preserve"> </w:t>
      </w:r>
      <w:r>
        <w:rPr>
          <w:sz w:val="28"/>
          <w:szCs w:val="28"/>
          <w:highlight w:val="none"/>
        </w:rPr>
        <w:t xml:space="preserve">области.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Полномочия по распоряжению данным земельным участком относятся к </w:t>
      </w:r>
      <w:r>
        <w:rPr>
          <w:sz w:val="28"/>
          <w:szCs w:val="28"/>
        </w:rPr>
        <w:t xml:space="preserve">администрации </w:t>
      </w:r>
      <w:r>
        <w:rPr>
          <w:sz w:val="28"/>
          <w:szCs w:val="28"/>
          <w:highlight w:val="none"/>
        </w:rPr>
        <w:t xml:space="preserve">Новосибирского</w:t>
      </w:r>
      <w:r>
        <w:rPr>
          <w:sz w:val="28"/>
          <w:szCs w:val="28"/>
        </w:rPr>
        <w:t xml:space="preserve"> района</w:t>
      </w:r>
      <w:r>
        <w:rPr>
          <w:sz w:val="28"/>
          <w:szCs w:val="28"/>
        </w:rPr>
        <w:t xml:space="preserve"> Новосибирской области</w:t>
      </w:r>
      <w:r>
        <w:rPr>
          <w:sz w:val="28"/>
          <w:szCs w:val="28"/>
        </w:rPr>
        <w:t xml:space="preserve">.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917"/>
        <w:ind w:firstLine="708"/>
        <w:jc w:val="both"/>
      </w:pPr>
      <w:r>
        <w:rPr>
          <w:spacing w:val="-2"/>
          <w:sz w:val="28"/>
          <w:szCs w:val="28"/>
        </w:rPr>
        <w:t xml:space="preserve">Проект закона Новосибирской области «О переводе </w:t>
      </w:r>
      <w:r>
        <w:rPr>
          <w:sz w:val="28"/>
          <w:szCs w:val="28"/>
        </w:rPr>
        <w:t xml:space="preserve">земельного участка с</w:t>
      </w:r>
      <w:r>
        <w:rPr>
          <w:sz w:val="28"/>
          <w:szCs w:val="28"/>
        </w:rPr>
        <w:t xml:space="preserve"> </w:t>
      </w:r>
      <w:r>
        <w:rPr>
          <w:sz w:val="28"/>
          <w:szCs w:val="28"/>
        </w:rPr>
        <w:t xml:space="preserve">кадастровым номером </w:t>
      </w:r>
      <w:r>
        <w:rPr>
          <w:sz w:val="28"/>
          <w:szCs w:val="28"/>
          <w:highlight w:val="none"/>
        </w:rPr>
        <w:t xml:space="preserve">54:19:093601:692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из состава земель одной категории в</w:t>
      </w:r>
      <w:r>
        <w:rPr>
          <w:sz w:val="28"/>
          <w:szCs w:val="28"/>
        </w:rPr>
        <w:t xml:space="preserve"> </w:t>
      </w:r>
      <w:r>
        <w:rPr>
          <w:sz w:val="28"/>
          <w:szCs w:val="28"/>
        </w:rPr>
        <w:t xml:space="preserve">другую</w:t>
      </w:r>
      <w:r>
        <w:rPr>
          <w:sz w:val="28"/>
          <w:szCs w:val="28"/>
        </w:rPr>
        <w:t xml:space="preserve">» подготовлен департаментом имущества и земельных отношений Новосибирской области в соответствии с требованиями статей 7 и 10 Закона </w:t>
      </w:r>
      <w:r>
        <w:rPr>
          <w:sz w:val="28"/>
          <w:szCs w:val="28"/>
        </w:rPr>
        <w:t xml:space="preserve">№</w:t>
      </w:r>
      <w:r>
        <w:rPr>
          <w:sz w:val="28"/>
          <w:szCs w:val="28"/>
        </w:rPr>
        <w:t xml:space="preserve"> </w:t>
      </w:r>
      <w:r>
        <w:rPr>
          <w:sz w:val="28"/>
          <w:szCs w:val="28"/>
        </w:rPr>
        <w:t xml:space="preserve">172-ФЗ, допускающими </w:t>
      </w:r>
      <w:r>
        <w:rPr>
          <w:sz w:val="28"/>
          <w:szCs w:val="28"/>
        </w:rPr>
        <w:t xml:space="preserve">перевод земел</w:t>
      </w:r>
      <w:r>
        <w:rPr>
          <w:sz w:val="28"/>
          <w:szCs w:val="28"/>
        </w:rPr>
        <w:t xml:space="preserve">ь сельскохозяйственных угодий или земельных участков в составе таких земель из земель сельскохозяйственного назначения в земли особо охраняемых территорий и объектов (за исключением земель населенных пунктов), в случае создания особо охраняемых территорий.</w:t>
      </w:r>
      <w:r>
        <w:rPr>
          <w:sz w:val="28"/>
          <w:szCs w:val="28"/>
        </w:rPr>
      </w:r>
      <w:r/>
    </w:p>
    <w:p>
      <w:pPr>
        <w:pStyle w:val="911"/>
        <w:ind w:firstLine="708"/>
        <w:jc w:val="both"/>
        <w:shd w:val="clear" w:color="auto" w:fill="ffffff"/>
        <w:rPr>
          <w:sz w:val="28"/>
          <w:szCs w:val="28"/>
          <w:highlight w:val="none"/>
        </w:rPr>
      </w:pPr>
      <w:r>
        <w:rPr>
          <w:spacing w:val="-1"/>
          <w:sz w:val="28"/>
          <w:szCs w:val="28"/>
        </w:rPr>
      </w:r>
      <w:r>
        <w:rPr>
          <w:color w:val="000000"/>
          <w:sz w:val="28"/>
          <w:szCs w:val="28"/>
        </w:rPr>
        <w:t xml:space="preserve">Вид разрешенного использования земельного участка с кадастровым номером </w:t>
      </w:r>
      <w:r>
        <w:rPr>
          <w:sz w:val="28"/>
          <w:szCs w:val="28"/>
          <w:highlight w:val="none"/>
        </w:rPr>
        <w:t xml:space="preserve">54:19:093601:692</w:t>
      </w:r>
      <w:r>
        <w:rPr>
          <w:color w:val="000000"/>
          <w:sz w:val="28"/>
          <w:szCs w:val="28"/>
        </w:rPr>
        <w:t xml:space="preserve"> в выписке из Единого государственного реестра недвижимости - «туристическое обслуживание (5.2.1)», который </w:t>
      </w:r>
      <w:r>
        <w:rPr>
          <w:color w:val="000000"/>
          <w:sz w:val="28"/>
          <w:szCs w:val="28"/>
        </w:rPr>
        <w:t xml:space="preserve">позволяет определить код вида разрешенного использования данного земельного участка по приложению 1 к</w:t>
      </w:r>
      <w:r>
        <w:rPr>
          <w:color w:val="000000"/>
          <w:sz w:val="28"/>
          <w:szCs w:val="28"/>
        </w:rPr>
        <w:t xml:space="preserve"> </w:t>
      </w:r>
      <w:r>
        <w:rPr>
          <w:color w:val="000000"/>
          <w:sz w:val="28"/>
          <w:szCs w:val="28"/>
        </w:rPr>
        <w:t xml:space="preserve">приказу </w:t>
      </w:r>
      <w:r>
        <w:rPr>
          <w:color w:val="000000"/>
          <w:sz w:val="28"/>
          <w:szCs w:val="28"/>
        </w:rPr>
        <w:t xml:space="preserve">Росреестра</w:t>
      </w:r>
      <w:r>
        <w:rPr>
          <w:color w:val="000000"/>
          <w:sz w:val="28"/>
          <w:szCs w:val="28"/>
        </w:rPr>
        <w:t xml:space="preserve"> от 04.08.2021 № П/0336 «Об утверждении методических </w:t>
      </w:r>
      <w:r>
        <w:rPr>
          <w:color w:val="000000"/>
          <w:sz w:val="28"/>
          <w:szCs w:val="28"/>
        </w:rPr>
        <w:t xml:space="preserve">указаний о</w:t>
      </w:r>
      <w:r>
        <w:rPr>
          <w:color w:val="000000"/>
          <w:sz w:val="28"/>
          <w:szCs w:val="28"/>
        </w:rPr>
        <w:t xml:space="preserve"> </w:t>
      </w:r>
      <w:r>
        <w:rPr>
          <w:color w:val="000000"/>
          <w:sz w:val="28"/>
          <w:szCs w:val="28"/>
        </w:rPr>
        <w:t xml:space="preserve">государственной кадастровой оценке»: сегмент 5 «Отдых (рекреация)».</w:t>
      </w:r>
      <w:r>
        <w:rPr>
          <w:sz w:val="28"/>
          <w:szCs w:val="28"/>
          <w:highlight w:val="none"/>
        </w:rPr>
      </w:r>
      <w:r>
        <w:rPr>
          <w:sz w:val="28"/>
          <w:szCs w:val="28"/>
          <w:highlight w:val="none"/>
        </w:rPr>
      </w:r>
    </w:p>
    <w:p>
      <w:pPr>
        <w:ind w:firstLine="708"/>
        <w:jc w:val="both"/>
        <w:shd w:val="clear" w:color="auto" w:fill="ffffff"/>
        <w:rPr>
          <w:sz w:val="28"/>
          <w:szCs w:val="28"/>
          <w:highlight w:val="none"/>
        </w:rPr>
      </w:pPr>
      <w:r>
        <w:rPr>
          <w:sz w:val="28"/>
          <w:szCs w:val="28"/>
          <w:highlight w:val="none"/>
        </w:rPr>
      </w:r>
      <w:r>
        <w:rPr>
          <w:sz w:val="28"/>
          <w:szCs w:val="28"/>
          <w:highlight w:val="none"/>
        </w:rPr>
      </w:r>
    </w:p>
    <w:p>
      <w:pPr>
        <w:pStyle w:val="911"/>
        <w:ind w:firstLine="709"/>
        <w:jc w:val="both"/>
        <w:shd w:val="clear" w:color="auto" w:fill="ffffff"/>
        <w:rPr>
          <w:spacing w:val="-1"/>
          <w:sz w:val="28"/>
          <w:szCs w:val="28"/>
          <w:highlight w:val="none"/>
        </w:rPr>
      </w:pPr>
      <w:r>
        <w:rPr>
          <w:sz w:val="28"/>
          <w:szCs w:val="28"/>
        </w:rPr>
        <w:t xml:space="preserve">К</w:t>
      </w:r>
      <w:r>
        <w:rPr>
          <w:spacing w:val="-2"/>
          <w:sz w:val="28"/>
          <w:szCs w:val="28"/>
        </w:rPr>
        <w:t xml:space="preserve">адастровая стоимость данного </w:t>
      </w:r>
      <w:r>
        <w:rPr>
          <w:sz w:val="28"/>
          <w:szCs w:val="28"/>
        </w:rPr>
        <w:t xml:space="preserve">земельного участка </w:t>
      </w:r>
      <w:r>
        <w:rPr>
          <w:spacing w:val="-1"/>
          <w:sz w:val="28"/>
          <w:szCs w:val="28"/>
        </w:rPr>
        <w:t xml:space="preserve">составляет:</w:t>
      </w:r>
      <w:r>
        <w:rPr>
          <w:spacing w:val="-1"/>
          <w:sz w:val="28"/>
          <w:szCs w:val="28"/>
          <w:highlight w:val="none"/>
        </w:rPr>
      </w:r>
      <w:r>
        <w:rPr>
          <w:spacing w:val="-1"/>
          <w:sz w:val="28"/>
          <w:szCs w:val="28"/>
          <w:highlight w:val="none"/>
        </w:rPr>
      </w:r>
    </w:p>
    <w:p>
      <w:pPr>
        <w:ind w:firstLine="709"/>
        <w:jc w:val="both"/>
        <w:shd w:val="clear" w:color="auto" w:fill="ffffff"/>
        <w:rPr>
          <w:spacing w:val="-1"/>
          <w:sz w:val="28"/>
          <w:szCs w:val="28"/>
          <w:highlight w:val="none"/>
        </w:rPr>
      </w:pPr>
      <w:r>
        <w:rPr>
          <w:spacing w:val="-1"/>
          <w:sz w:val="28"/>
          <w:szCs w:val="28"/>
          <w:highlight w:val="none"/>
        </w:rPr>
      </w:r>
      <w:r>
        <w:rPr>
          <w:spacing w:val="-1"/>
          <w:sz w:val="28"/>
          <w:szCs w:val="28"/>
          <w:highlight w:val="none"/>
        </w:rPr>
      </w:r>
      <w:r>
        <w:rPr>
          <w:spacing w:val="-1"/>
          <w:sz w:val="28"/>
          <w:szCs w:val="28"/>
          <w:highlight w:val="none"/>
        </w:rPr>
      </w:r>
    </w:p>
    <w:tbl>
      <w:tblPr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3379"/>
        <w:gridCol w:w="3379"/>
        <w:gridCol w:w="3379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9" w:type="dxa"/>
            <w:vAlign w:val="center"/>
            <w:textDirection w:val="lrTb"/>
            <w:noWrap w:val="false"/>
          </w:tcPr>
          <w:p>
            <w:pPr>
              <w:pStyle w:val="91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Кадастровый номер</w:t>
            </w:r>
            <w:r>
              <w:rPr>
                <w:sz w:val="28"/>
                <w:szCs w:val="28"/>
              </w:rPr>
            </w:r>
            <w:r>
              <w:rPr>
                <w:sz w:val="28"/>
                <w:szCs w:val="28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9" w:type="dxa"/>
            <w:vAlign w:val="center"/>
            <w:textDirection w:val="lrTb"/>
            <w:noWrap w:val="false"/>
          </w:tcPr>
          <w:p>
            <w:pPr>
              <w:pStyle w:val="91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Кадастровая стоимость, руб.</w:t>
            </w:r>
            <w:r>
              <w:rPr>
                <w:sz w:val="28"/>
                <w:szCs w:val="28"/>
              </w:rPr>
            </w:r>
            <w:r>
              <w:rPr>
                <w:sz w:val="28"/>
                <w:szCs w:val="28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9" w:type="dxa"/>
            <w:vAlign w:val="center"/>
            <w:textDirection w:val="lrTb"/>
            <w:noWrap w:val="false"/>
          </w:tcPr>
          <w:p>
            <w:pPr>
              <w:pStyle w:val="91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УПКС, руб./кв.м.</w:t>
            </w:r>
            <w:r>
              <w:rPr>
                <w:sz w:val="28"/>
                <w:szCs w:val="28"/>
              </w:rPr>
            </w:r>
            <w:r>
              <w:rPr>
                <w:sz w:val="28"/>
                <w:szCs w:val="28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9" w:type="dxa"/>
            <w:vAlign w:val="bottom"/>
            <w:textDirection w:val="lrTb"/>
            <w:noWrap w:val="false"/>
          </w:tcPr>
          <w:p>
            <w:pPr>
              <w:pStyle w:val="91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  <w:r>
              <w:rPr>
                <w:sz w:val="28"/>
                <w:szCs w:val="28"/>
                <w:highlight w:val="none"/>
              </w:rPr>
              <w:t xml:space="preserve">54:19:093601:692</w:t>
            </w:r>
            <w:r>
              <w:rPr>
                <w:sz w:val="28"/>
                <w:szCs w:val="28"/>
              </w:rPr>
            </w:r>
            <w:r>
              <w:rPr>
                <w:sz w:val="28"/>
                <w:szCs w:val="28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9" w:type="dxa"/>
            <w:vAlign w:val="bottom"/>
            <w:textDirection w:val="lrTb"/>
            <w:noWrap w:val="false"/>
          </w:tcPr>
          <w:p>
            <w:pPr>
              <w:pStyle w:val="91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7766121,83</w:t>
            </w:r>
            <w:r>
              <w:rPr>
                <w:sz w:val="28"/>
                <w:szCs w:val="28"/>
              </w:rPr>
            </w:r>
            <w:r>
              <w:rPr>
                <w:sz w:val="28"/>
                <w:szCs w:val="28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9" w:type="dxa"/>
            <w:vAlign w:val="bottom"/>
            <w:textDirection w:val="lrTb"/>
            <w:noWrap w:val="false"/>
          </w:tcPr>
          <w:p>
            <w:pPr>
              <w:pStyle w:val="91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297,04</w:t>
            </w:r>
            <w:r>
              <w:rPr>
                <w:sz w:val="28"/>
                <w:szCs w:val="28"/>
              </w:rPr>
            </w:r>
            <w:r>
              <w:rPr>
                <w:sz w:val="28"/>
                <w:szCs w:val="28"/>
              </w:rPr>
            </w:r>
          </w:p>
        </w:tc>
      </w:tr>
    </w:tbl>
    <w:p>
      <w:pPr>
        <w:pStyle w:val="911"/>
        <w:ind w:firstLine="709"/>
        <w:jc w:val="both"/>
        <w:shd w:val="clear" w:color="auto" w:fill="ffffff"/>
        <w:rPr>
          <w:spacing w:val="-1"/>
          <w:sz w:val="28"/>
          <w:szCs w:val="28"/>
        </w:rPr>
      </w:pPr>
      <w:r>
        <w:rPr>
          <w:spacing w:val="-1"/>
          <w:sz w:val="28"/>
          <w:szCs w:val="28"/>
        </w:rPr>
      </w:r>
      <w:r>
        <w:rPr>
          <w:spacing w:val="-1"/>
          <w:sz w:val="28"/>
          <w:szCs w:val="28"/>
        </w:rPr>
      </w:r>
      <w:r>
        <w:rPr>
          <w:spacing w:val="-1"/>
          <w:sz w:val="28"/>
          <w:szCs w:val="28"/>
        </w:rPr>
      </w:r>
    </w:p>
    <w:p>
      <w:pPr>
        <w:pStyle w:val="911"/>
        <w:ind w:firstLine="708"/>
        <w:jc w:val="both"/>
        <w:shd w:val="clear" w:color="auto" w:fill="ffffff"/>
        <w:rPr>
          <w:b/>
          <w:spacing w:val="-1"/>
          <w:sz w:val="28"/>
          <w:szCs w:val="28"/>
        </w:rPr>
      </w:pPr>
      <w:r>
        <w:rPr>
          <w:spacing w:val="-1"/>
          <w:sz w:val="28"/>
          <w:szCs w:val="28"/>
        </w:rPr>
        <w:t xml:space="preserve">С</w:t>
      </w:r>
      <w:r>
        <w:rPr>
          <w:spacing w:val="-1"/>
          <w:sz w:val="28"/>
          <w:szCs w:val="28"/>
        </w:rPr>
        <w:t xml:space="preserve">редний уровень кадастровой стоимости земель сельскохозяйственного назначения по Новосибирскому </w:t>
      </w:r>
      <w:r>
        <w:rPr>
          <w:spacing w:val="-1"/>
          <w:sz w:val="28"/>
          <w:szCs w:val="28"/>
        </w:rPr>
        <w:t xml:space="preserve">району</w:t>
      </w:r>
      <w:r>
        <w:rPr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 xml:space="preserve">Н</w:t>
      </w:r>
      <w:r>
        <w:rPr>
          <w:spacing w:val="-1"/>
          <w:sz w:val="28"/>
          <w:szCs w:val="28"/>
        </w:rPr>
        <w:t xml:space="preserve">овосибирской области по сегменту 5</w:t>
      </w:r>
      <w:r>
        <w:rPr>
          <w:spacing w:val="-1"/>
          <w:sz w:val="28"/>
          <w:szCs w:val="28"/>
        </w:rPr>
        <w:t xml:space="preserve"> «</w:t>
      </w:r>
      <w:r>
        <w:rPr>
          <w:color w:val="000000"/>
          <w:sz w:val="28"/>
          <w:szCs w:val="28"/>
        </w:rPr>
        <w:t xml:space="preserve">Отдых (рекреация)</w:t>
      </w:r>
      <w:r>
        <w:rPr>
          <w:spacing w:val="-1"/>
          <w:sz w:val="28"/>
          <w:szCs w:val="28"/>
        </w:rPr>
        <w:t xml:space="preserve">», установленный приложением 2 к </w:t>
      </w:r>
      <w:r>
        <w:rPr>
          <w:sz w:val="28"/>
          <w:szCs w:val="28"/>
        </w:rPr>
        <w:t xml:space="preserve">приказу</w:t>
      </w:r>
      <w:r>
        <w:rPr>
          <w:sz w:val="28"/>
          <w:szCs w:val="28"/>
        </w:rPr>
        <w:t xml:space="preserve"> департамента имущества и земельных отношений Новосибирской области от</w:t>
      </w:r>
      <w:r>
        <w:rPr>
          <w:sz w:val="28"/>
          <w:szCs w:val="28"/>
        </w:rPr>
        <w:t xml:space="preserve"> </w:t>
      </w:r>
      <w:r>
        <w:rPr>
          <w:sz w:val="28"/>
          <w:szCs w:val="28"/>
        </w:rPr>
        <w:t xml:space="preserve">20.10.2022 № </w:t>
      </w:r>
      <w:r>
        <w:rPr>
          <w:sz w:val="28"/>
          <w:szCs w:val="28"/>
        </w:rPr>
        <w:t xml:space="preserve">3017</w:t>
      </w:r>
      <w:r>
        <w:rPr>
          <w:sz w:val="28"/>
          <w:szCs w:val="28"/>
        </w:rPr>
        <w:t xml:space="preserve"> «Об утверждении результатов определения кадастровой стоимости земельных участков на территории Новосибирской </w:t>
      </w:r>
      <w:r>
        <w:rPr>
          <w:sz w:val="28"/>
          <w:szCs w:val="28"/>
        </w:rPr>
        <w:t xml:space="preserve">области</w:t>
      </w:r>
      <w:r>
        <w:rPr>
          <w:sz w:val="28"/>
          <w:szCs w:val="28"/>
        </w:rPr>
        <w:t xml:space="preserve"> и среднего уровня кадастровой стоимости по муниципальны</w:t>
      </w:r>
      <w:r>
        <w:rPr>
          <w:sz w:val="28"/>
          <w:szCs w:val="28"/>
        </w:rPr>
        <w:t xml:space="preserve">м районам, муниципальным округам и городским округам</w:t>
      </w:r>
      <w:r>
        <w:rPr>
          <w:sz w:val="28"/>
          <w:szCs w:val="28"/>
        </w:rPr>
        <w:t xml:space="preserve"> Новосибирской области»,</w:t>
      </w:r>
      <w:r>
        <w:rPr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 xml:space="preserve">составляет </w:t>
      </w:r>
      <w:r>
        <w:rPr>
          <w:b/>
          <w:bCs/>
          <w:spacing w:val="-1"/>
          <w:sz w:val="28"/>
          <w:szCs w:val="28"/>
        </w:rPr>
        <w:t xml:space="preserve">320</w:t>
      </w:r>
      <w:r>
        <w:rPr>
          <w:b/>
          <w:bCs/>
          <w:spacing w:val="-1"/>
          <w:sz w:val="28"/>
          <w:szCs w:val="28"/>
        </w:rPr>
        <w:t xml:space="preserve">,</w:t>
      </w:r>
      <w:r>
        <w:rPr>
          <w:b/>
          <w:bCs/>
          <w:spacing w:val="-1"/>
          <w:sz w:val="28"/>
          <w:szCs w:val="28"/>
        </w:rPr>
        <w:t xml:space="preserve">41</w:t>
      </w:r>
      <w:r>
        <w:rPr>
          <w:b/>
          <w:bCs/>
          <w:spacing w:val="-1"/>
          <w:sz w:val="28"/>
          <w:szCs w:val="28"/>
        </w:rPr>
        <w:t xml:space="preserve"> </w:t>
      </w:r>
      <w:r>
        <w:rPr>
          <w:b/>
          <w:bCs/>
          <w:spacing w:val="-1"/>
          <w:sz w:val="28"/>
          <w:szCs w:val="28"/>
        </w:rPr>
        <w:t xml:space="preserve">р</w:t>
      </w:r>
      <w:r>
        <w:rPr>
          <w:b/>
          <w:spacing w:val="-1"/>
          <w:sz w:val="28"/>
          <w:szCs w:val="28"/>
        </w:rPr>
        <w:t xml:space="preserve">уб/кв.м.</w:t>
      </w:r>
      <w:r>
        <w:rPr>
          <w:b/>
          <w:spacing w:val="-1"/>
          <w:sz w:val="28"/>
          <w:szCs w:val="28"/>
        </w:rPr>
      </w:r>
      <w:r>
        <w:rPr>
          <w:b/>
          <w:spacing w:val="-1"/>
          <w:sz w:val="28"/>
          <w:szCs w:val="28"/>
        </w:rPr>
      </w:r>
    </w:p>
    <w:p>
      <w:pPr>
        <w:pStyle w:val="911"/>
        <w:ind w:left="26" w:right="22" w:firstLine="701"/>
        <w:jc w:val="both"/>
        <w:spacing w:line="320" w:lineRule="exact"/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На основании вышеизложенного, кадастровая стоимость указанного земельного участка не превышает на пятьдесят и более процентов средний уровень кадастровой стоимости земельных участков по </w:t>
      </w:r>
      <w:r>
        <w:rPr>
          <w:sz w:val="28"/>
          <w:szCs w:val="28"/>
        </w:rPr>
        <w:t xml:space="preserve">Новосибирскому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району Новосибирской области. В соответствии со статьей 7 Закона № 172-ФЗ перевод данного земельного участка допускается.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911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Содержание ходатайства и прилагаемого к нему пакета документов соответствует требованиям, установленным </w:t>
      </w:r>
      <w:r>
        <w:rPr>
          <w:sz w:val="28"/>
          <w:szCs w:val="28"/>
        </w:rPr>
        <w:t xml:space="preserve">Законом № 172-ФЗ</w:t>
      </w:r>
      <w:r>
        <w:rPr>
          <w:sz w:val="28"/>
          <w:szCs w:val="28"/>
        </w:rPr>
        <w:t xml:space="preserve">. Следовательно, оснований для отказа в переводе данного земельного участка не имеется.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911"/>
        <w:ind w:right="-2" w:firstLine="720"/>
        <w:jc w:val="both"/>
        <w:rPr>
          <w:sz w:val="28"/>
          <w:szCs w:val="28"/>
        </w:rPr>
      </w:pPr>
      <w:r>
        <w:rPr>
          <w:sz w:val="28"/>
          <w:szCs w:val="28"/>
          <w:lang w:val="en-US" w:eastAsia="en-US"/>
        </w:rPr>
      </w:r>
      <w:r>
        <w:rPr>
          <w:rFonts w:ascii="Times New Roman" w:hAnsi="Times New Roman"/>
          <w:sz w:val="28"/>
          <w:szCs w:val="28"/>
        </w:rPr>
        <w:t xml:space="preserve">Проект закона не подлежит оценке регулирующего воздействия в связи с</w:t>
      </w:r>
      <w:r>
        <w:rPr>
          <w:sz w:val="28"/>
          <w:szCs w:val="28"/>
        </w:rPr>
        <w:t xml:space="preserve"> </w:t>
      </w:r>
      <w:r>
        <w:rPr>
          <w:rFonts w:ascii="Times New Roman" w:hAnsi="Times New Roman"/>
          <w:sz w:val="28"/>
          <w:szCs w:val="28"/>
        </w:rPr>
        <w:t xml:space="preserve">тем,</w:t>
      </w:r>
      <w:r>
        <w:rPr>
          <w:rFonts w:ascii="Times New Roman" w:hAnsi="Times New Roman"/>
          <w:spacing w:val="-5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что</w:t>
      </w:r>
      <w:r>
        <w:rPr>
          <w:rFonts w:ascii="Times New Roman" w:hAnsi="Times New Roman"/>
          <w:spacing w:val="-15"/>
          <w:sz w:val="28"/>
          <w:szCs w:val="28"/>
        </w:rPr>
        <w:t xml:space="preserve"> н</w:t>
      </w:r>
      <w:r>
        <w:rPr>
          <w:rFonts w:ascii="Times New Roman" w:hAnsi="Times New Roman"/>
          <w:sz w:val="28"/>
          <w:szCs w:val="28"/>
        </w:rPr>
        <w:t xml:space="preserve">е содержит положений, устанавливающих</w:t>
      </w:r>
      <w:r>
        <w:rPr>
          <w:rFonts w:ascii="Times New Roman" w:hAnsi="Times New Roman"/>
          <w:spacing w:val="-16"/>
          <w:sz w:val="28"/>
          <w:szCs w:val="28"/>
        </w:rPr>
        <w:t xml:space="preserve"> новы</w:t>
      </w:r>
      <w:r>
        <w:rPr>
          <w:rFonts w:ascii="Times New Roman" w:hAnsi="Times New Roman"/>
          <w:sz w:val="28"/>
          <w:szCs w:val="28"/>
        </w:rPr>
        <w:t xml:space="preserve">е или</w:t>
      </w:r>
      <w:r>
        <w:rPr>
          <w:rFonts w:ascii="Times New Roman" w:hAnsi="Times New Roman"/>
          <w:spacing w:val="4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изменяющих ранее п</w:t>
      </w:r>
      <w:r>
        <w:rPr>
          <w:rFonts w:ascii="Times New Roman" w:hAnsi="Times New Roman"/>
          <w:sz w:val="28"/>
          <w:szCs w:val="28"/>
        </w:rPr>
        <w:t xml:space="preserve">редусмотренные нормативными правовыми актами обязательные требования, связанные с осуществлением предпринимательской и иной экономической </w:t>
      </w:r>
      <w:r>
        <w:rPr>
          <w:rFonts w:ascii="Times New Roman" w:hAnsi="Times New Roman"/>
          <w:sz w:val="28"/>
          <w:szCs w:val="28"/>
        </w:rPr>
        <w:t xml:space="preserve">деятельности, оценка соблюдения которых осуществляется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i w:val="0"/>
          <w:iCs w:val="0"/>
          <w:sz w:val="28"/>
          <w:szCs w:val="28"/>
        </w:rPr>
        <w:t xml:space="preserve">в</w:t>
      </w:r>
      <w:r>
        <w:rPr>
          <w:sz w:val="28"/>
          <w:szCs w:val="28"/>
        </w:rPr>
        <w:t xml:space="preserve"> </w:t>
      </w:r>
      <w:r>
        <w:rPr>
          <w:rFonts w:ascii="Times New Roman" w:hAnsi="Times New Roman"/>
          <w:sz w:val="28"/>
          <w:szCs w:val="28"/>
        </w:rPr>
        <w:t xml:space="preserve">рамках </w:t>
      </w:r>
      <w:r>
        <w:rPr>
          <w:rFonts w:ascii="Times New Roman" w:hAnsi="Times New Roman"/>
          <w:sz w:val="28"/>
          <w:szCs w:val="28"/>
        </w:rPr>
        <w:t xml:space="preserve">гoсyдapcтвeнногo контроля (надзора), привлечения к административной ответственности, предоставления лицензий и иных разрешений, аккредитации,</w:t>
      </w:r>
      <w:r>
        <w:rPr>
          <w:rFonts w:ascii="Times New Roman" w:hAnsi="Times New Roman"/>
          <w:spacing w:val="4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оценки</w:t>
      </w:r>
      <w:r>
        <w:rPr>
          <w:rFonts w:ascii="Times New Roman" w:hAnsi="Times New Roman"/>
          <w:spacing w:val="-17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соответствия продукции, иных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форм</w:t>
      </w:r>
      <w:r>
        <w:rPr>
          <w:rFonts w:ascii="Times New Roman" w:hAnsi="Times New Roman"/>
          <w:spacing w:val="-16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оценок</w:t>
      </w:r>
      <w:r>
        <w:rPr>
          <w:rFonts w:ascii="Times New Roman" w:hAnsi="Times New Roman"/>
          <w:spacing w:val="-2"/>
          <w:sz w:val="28"/>
          <w:szCs w:val="28"/>
        </w:rPr>
        <w:t xml:space="preserve"> и</w:t>
      </w:r>
      <w:r>
        <w:rPr>
          <w:rFonts w:ascii="Times New Roman" w:hAnsi="Times New Roman"/>
          <w:spacing w:val="-3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экспертиз,</w:t>
      </w:r>
      <w:r>
        <w:rPr>
          <w:rFonts w:ascii="Times New Roman" w:hAnsi="Times New Roman"/>
          <w:spacing w:val="-11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устанавливающих </w:t>
      </w:r>
      <w:r>
        <w:rPr>
          <w:rFonts w:ascii="Times New Roman" w:hAnsi="Times New Roman"/>
          <w:sz w:val="28"/>
          <w:szCs w:val="28"/>
        </w:rPr>
        <w:t xml:space="preserve">новые или изменяющих ранее предусмотренные </w:t>
      </w:r>
      <w:r>
        <w:rPr>
          <w:rFonts w:ascii="Times New Roman" w:hAnsi="Times New Roman"/>
          <w:sz w:val="28"/>
          <w:szCs w:val="28"/>
        </w:rPr>
        <w:t xml:space="preserve">нормативными правовыми актами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обязанности и запреты для субъектов </w:t>
      </w:r>
      <w:r>
        <w:rPr>
          <w:rFonts w:ascii="Times New Roman" w:hAnsi="Times New Roman"/>
          <w:sz w:val="28"/>
          <w:szCs w:val="28"/>
        </w:rPr>
        <w:t xml:space="preserve">предпринимательской</w:t>
      </w:r>
      <w:r>
        <w:rPr>
          <w:rFonts w:ascii="Times New Roman" w:hAnsi="Times New Roman"/>
          <w:sz w:val="28"/>
          <w:szCs w:val="28"/>
        </w:rPr>
        <w:t xml:space="preserve"> и инвестиционной деятельности, а также </w:t>
      </w:r>
      <w:r>
        <w:rPr>
          <w:rFonts w:ascii="Times New Roman" w:hAnsi="Times New Roman"/>
          <w:sz w:val="28"/>
          <w:szCs w:val="28"/>
        </w:rPr>
        <w:t xml:space="preserve">устанавливающих </w:t>
      </w:r>
      <w:r>
        <w:rPr>
          <w:rFonts w:ascii="Times New Roman" w:hAnsi="Times New Roman"/>
          <w:sz w:val="28"/>
          <w:szCs w:val="28"/>
        </w:rPr>
        <w:t xml:space="preserve">или изменяющих</w:t>
      </w:r>
      <w:r>
        <w:rPr>
          <w:rFonts w:ascii="Times New Roman" w:hAnsi="Times New Roman"/>
          <w:sz w:val="28"/>
          <w:szCs w:val="28"/>
        </w:rPr>
        <w:t xml:space="preserve"> ответственность за нарушение нормативных правовых актов, затрагивающих вопросы осуществления </w:t>
      </w:r>
      <w:r>
        <w:rPr>
          <w:rFonts w:ascii="Times New Roman" w:hAnsi="Times New Roman"/>
          <w:sz w:val="28"/>
          <w:szCs w:val="28"/>
        </w:rPr>
        <w:t xml:space="preserve">предпринимательской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и иной экономической </w:t>
      </w:r>
      <w:r>
        <w:rPr>
          <w:rFonts w:ascii="Times New Roman" w:hAnsi="Times New Roman"/>
          <w:sz w:val="28"/>
          <w:szCs w:val="28"/>
        </w:rPr>
        <w:t xml:space="preserve">деятельности</w:t>
      </w:r>
      <w:r>
        <w:rPr>
          <w:rFonts w:ascii="Times New Roman" w:hAnsi="Times New Roman"/>
          <w:sz w:val="28"/>
          <w:szCs w:val="28"/>
        </w:rPr>
        <w:t xml:space="preserve">.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911"/>
        <w:ind w:right="-711"/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right="-711"/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911"/>
        <w:ind w:right="-711"/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920"/>
        <w:rPr>
          <w:sz w:val="28"/>
          <w:szCs w:val="28"/>
        </w:rPr>
      </w:pPr>
      <w:r>
        <w:rPr>
          <w:sz w:val="28"/>
          <w:szCs w:val="28"/>
        </w:rPr>
        <w:t xml:space="preserve">Руководитель</w:t>
      </w:r>
      <w:r>
        <w:rPr>
          <w:sz w:val="28"/>
          <w:szCs w:val="28"/>
        </w:rPr>
        <w:t xml:space="preserve"> департамента</w:t>
      </w:r>
      <w:r>
        <w:rPr>
          <w:sz w:val="28"/>
          <w:szCs w:val="28"/>
        </w:rPr>
        <w:t xml:space="preserve">                              </w:t>
      </w:r>
      <w:r>
        <w:rPr>
          <w:sz w:val="28"/>
          <w:szCs w:val="28"/>
        </w:rPr>
        <w:t xml:space="preserve">    </w:t>
      </w:r>
      <w:r>
        <w:rPr>
          <w:sz w:val="28"/>
          <w:szCs w:val="28"/>
        </w:rPr>
        <w:t xml:space="preserve">          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     </w:t>
      </w:r>
      <w:r>
        <w:rPr>
          <w:sz w:val="28"/>
          <w:szCs w:val="28"/>
        </w:rPr>
        <w:t xml:space="preserve">Р.Г. Шилохвостов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right="-711"/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right="-711"/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right="-711"/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sectPr>
      <w:headerReference w:type="default" r:id="rId9"/>
      <w:headerReference w:type="even" r:id="rId10"/>
      <w:headerReference w:type="first" r:id="rId11"/>
      <w:footerReference w:type="default" r:id="rId12"/>
      <w:footerReference w:type="first" r:id="rId13"/>
      <w:footnotePr/>
      <w:endnotePr/>
      <w:type w:val="nextPage"/>
      <w:pgSz w:w="11906" w:h="16838" w:orient="portrait"/>
      <w:pgMar w:top="552" w:right="567" w:bottom="539" w:left="1418" w:header="284" w:footer="709" w:gutter="0"/>
      <w:pgNumType w:start="1"/>
      <w:cols w:num="1" w:sep="0" w:space="708" w:equalWidth="1"/>
      <w:docGrid w:linePitch="36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</w:font>
  <w:font w:name="Times New Roman">
    <w:panose1 w:val="02020603050405020304"/>
  </w:font>
  <w:font w:name="Courier New">
    <w:panose1 w:val="02070309020205020404"/>
  </w:font>
  <w:font w:name="Tahoma">
    <w:panose1 w:val="020B0604030504040204"/>
  </w:font>
  <w:font w:name="Arial">
    <w:panose1 w:val="020B0604020202020204"/>
  </w:font>
  <w:font w:name="Cambria">
    <w:panose1 w:val="0204050305040603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763"/>
    </w:pPr>
    <w:r/>
    <w:r/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r/>
    <w:r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761"/>
      <w:jc w:val="center"/>
    </w:pPr>
    <w:fldSimple w:instr="PAGE \* MERGEFORMAT">
      <w:r>
        <w:t xml:space="preserve">1</w:t>
      </w:r>
    </w:fldSimple>
    <w:r/>
    <w:r/>
  </w:p>
  <w:p>
    <w:pPr>
      <w:pStyle w:val="761"/>
    </w:pPr>
    <w:r/>
    <w:r/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19"/>
      <w:rPr>
        <w:rStyle w:val="921"/>
      </w:rPr>
      <w:framePr w:wrap="around" w:vAnchor="text" w:hAnchor="margin" w:xAlign="center" w:y="1"/>
    </w:pPr>
    <w:r>
      <w:rPr>
        <w:rStyle w:val="921"/>
      </w:rPr>
      <w:fldChar w:fldCharType="begin"/>
    </w:r>
    <w:r>
      <w:rPr>
        <w:rStyle w:val="921"/>
      </w:rPr>
      <w:instrText xml:space="preserve">PAGE  </w:instrText>
    </w:r>
    <w:r>
      <w:rPr>
        <w:rStyle w:val="921"/>
      </w:rPr>
      <w:fldChar w:fldCharType="separate"/>
    </w:r>
    <w:r>
      <w:rPr>
        <w:rStyle w:val="921"/>
      </w:rPr>
      <w:t xml:space="preserve">1</w:t>
    </w:r>
    <w:r>
      <w:rPr>
        <w:rStyle w:val="921"/>
      </w:rPr>
      <w:fldChar w:fldCharType="end"/>
    </w:r>
    <w:r>
      <w:rPr>
        <w:rStyle w:val="921"/>
      </w:rPr>
    </w:r>
    <w:r>
      <w:rPr>
        <w:rStyle w:val="921"/>
      </w:rPr>
    </w:r>
  </w:p>
  <w:p>
    <w:pPr>
      <w:pStyle w:val="919"/>
      <w:ind w:right="360"/>
    </w:pPr>
    <w:r/>
    <w:r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761"/>
    </w:pPr>
    <w:r/>
    <w:r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106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80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80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2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4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6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8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40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2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40" w:hanging="180"/>
      </w:pPr>
    </w:lvl>
  </w:abstractNum>
  <w:abstractNum w:abstractNumId="2">
    <w:multiLevelType w:val="hybridMultilevel"/>
    <w:lvl w:ilvl="0">
      <w:start w:val="0"/>
      <w:numFmt w:val="bullet"/>
      <w:isLgl w:val="false"/>
      <w:suff w:val="tab"/>
      <w:lvlText w:val="-"/>
      <w:lvlJc w:val="left"/>
      <w:pPr>
        <w:ind w:left="144" w:hanging="164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>
      <w:start w:val="0"/>
      <w:numFmt w:val="bullet"/>
      <w:isLgl w:val="false"/>
      <w:suff w:val="tab"/>
      <w:lvlText w:val="•"/>
      <w:lvlJc w:val="left"/>
      <w:pPr>
        <w:ind w:left="1089" w:hanging="164"/>
      </w:pPr>
      <w:rPr>
        <w:rFonts w:hint="default"/>
        <w:lang w:val="ru-RU" w:eastAsia="en-US" w:bidi="ar-SA"/>
      </w:rPr>
    </w:lvl>
    <w:lvl w:ilvl="2">
      <w:start w:val="0"/>
      <w:numFmt w:val="bullet"/>
      <w:isLgl w:val="false"/>
      <w:suff w:val="tab"/>
      <w:lvlText w:val="•"/>
      <w:lvlJc w:val="left"/>
      <w:pPr>
        <w:ind w:left="2039" w:hanging="164"/>
      </w:pPr>
      <w:rPr>
        <w:rFonts w:hint="default"/>
        <w:lang w:val="ru-RU" w:eastAsia="en-US" w:bidi="ar-SA"/>
      </w:rPr>
    </w:lvl>
    <w:lvl w:ilvl="3">
      <w:start w:val="0"/>
      <w:numFmt w:val="bullet"/>
      <w:isLgl w:val="false"/>
      <w:suff w:val="tab"/>
      <w:lvlText w:val="•"/>
      <w:lvlJc w:val="left"/>
      <w:pPr>
        <w:ind w:left="2989" w:hanging="164"/>
      </w:pPr>
      <w:rPr>
        <w:rFonts w:hint="default"/>
        <w:lang w:val="ru-RU" w:eastAsia="en-US" w:bidi="ar-SA"/>
      </w:rPr>
    </w:lvl>
    <w:lvl w:ilvl="4">
      <w:start w:val="0"/>
      <w:numFmt w:val="bullet"/>
      <w:isLgl w:val="false"/>
      <w:suff w:val="tab"/>
      <w:lvlText w:val="•"/>
      <w:lvlJc w:val="left"/>
      <w:pPr>
        <w:ind w:left="3939" w:hanging="164"/>
      </w:pPr>
      <w:rPr>
        <w:rFonts w:hint="default"/>
        <w:lang w:val="ru-RU" w:eastAsia="en-US" w:bidi="ar-SA"/>
      </w:rPr>
    </w:lvl>
    <w:lvl w:ilvl="5">
      <w:start w:val="0"/>
      <w:numFmt w:val="bullet"/>
      <w:isLgl w:val="false"/>
      <w:suff w:val="tab"/>
      <w:lvlText w:val="•"/>
      <w:lvlJc w:val="left"/>
      <w:pPr>
        <w:ind w:left="4889" w:hanging="164"/>
      </w:pPr>
      <w:rPr>
        <w:rFonts w:hint="default"/>
        <w:lang w:val="ru-RU" w:eastAsia="en-US" w:bidi="ar-SA"/>
      </w:rPr>
    </w:lvl>
    <w:lvl w:ilvl="6">
      <w:start w:val="0"/>
      <w:numFmt w:val="bullet"/>
      <w:isLgl w:val="false"/>
      <w:suff w:val="tab"/>
      <w:lvlText w:val="•"/>
      <w:lvlJc w:val="left"/>
      <w:pPr>
        <w:ind w:left="5839" w:hanging="164"/>
      </w:pPr>
      <w:rPr>
        <w:rFonts w:hint="default"/>
        <w:lang w:val="ru-RU" w:eastAsia="en-US" w:bidi="ar-SA"/>
      </w:rPr>
    </w:lvl>
    <w:lvl w:ilvl="7">
      <w:start w:val="0"/>
      <w:numFmt w:val="bullet"/>
      <w:isLgl w:val="false"/>
      <w:suff w:val="tab"/>
      <w:lvlText w:val="•"/>
      <w:lvlJc w:val="left"/>
      <w:pPr>
        <w:ind w:left="6789" w:hanging="164"/>
      </w:pPr>
      <w:rPr>
        <w:rFonts w:hint="default"/>
        <w:lang w:val="ru-RU" w:eastAsia="en-US" w:bidi="ar-SA"/>
      </w:rPr>
    </w:lvl>
    <w:lvl w:ilvl="8">
      <w:start w:val="0"/>
      <w:numFmt w:val="bullet"/>
      <w:isLgl w:val="false"/>
      <w:suff w:val="tab"/>
      <w:lvlText w:val="•"/>
      <w:lvlJc w:val="left"/>
      <w:pPr>
        <w:ind w:left="7739" w:hanging="164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lang w:val="ru-RU" w:eastAsia="zh-CN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733">
    <w:name w:val="Heading 1"/>
    <w:basedOn w:val="911"/>
    <w:next w:val="911"/>
    <w:link w:val="734"/>
    <w:uiPriority w:val="9"/>
    <w:qFormat/>
    <w:pPr>
      <w:keepLines/>
      <w:keepNext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character" w:styleId="734">
    <w:name w:val="Heading 1 Char"/>
    <w:link w:val="733"/>
    <w:uiPriority w:val="9"/>
    <w:rPr>
      <w:rFonts w:ascii="Arial" w:hAnsi="Arial" w:eastAsia="Arial" w:cs="Arial"/>
      <w:sz w:val="40"/>
      <w:szCs w:val="40"/>
    </w:rPr>
  </w:style>
  <w:style w:type="paragraph" w:styleId="735">
    <w:name w:val="Heading 2"/>
    <w:basedOn w:val="911"/>
    <w:next w:val="911"/>
    <w:link w:val="736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character" w:styleId="736">
    <w:name w:val="Heading 2 Char"/>
    <w:link w:val="735"/>
    <w:uiPriority w:val="9"/>
    <w:rPr>
      <w:rFonts w:ascii="Arial" w:hAnsi="Arial" w:eastAsia="Arial" w:cs="Arial"/>
      <w:sz w:val="34"/>
    </w:rPr>
  </w:style>
  <w:style w:type="paragraph" w:styleId="737">
    <w:name w:val="Heading 3"/>
    <w:basedOn w:val="911"/>
    <w:next w:val="911"/>
    <w:link w:val="738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738">
    <w:name w:val="Heading 3 Char"/>
    <w:link w:val="737"/>
    <w:uiPriority w:val="9"/>
    <w:rPr>
      <w:rFonts w:ascii="Arial" w:hAnsi="Arial" w:eastAsia="Arial" w:cs="Arial"/>
      <w:sz w:val="30"/>
      <w:szCs w:val="30"/>
    </w:rPr>
  </w:style>
  <w:style w:type="paragraph" w:styleId="739">
    <w:name w:val="Heading 4"/>
    <w:basedOn w:val="911"/>
    <w:next w:val="911"/>
    <w:link w:val="740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740">
    <w:name w:val="Heading 4 Char"/>
    <w:link w:val="739"/>
    <w:uiPriority w:val="9"/>
    <w:rPr>
      <w:rFonts w:ascii="Arial" w:hAnsi="Arial" w:eastAsia="Arial" w:cs="Arial"/>
      <w:b/>
      <w:bCs/>
      <w:sz w:val="26"/>
      <w:szCs w:val="26"/>
    </w:rPr>
  </w:style>
  <w:style w:type="paragraph" w:styleId="741">
    <w:name w:val="Heading 5"/>
    <w:basedOn w:val="911"/>
    <w:next w:val="911"/>
    <w:link w:val="742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742">
    <w:name w:val="Heading 5 Char"/>
    <w:link w:val="741"/>
    <w:uiPriority w:val="9"/>
    <w:rPr>
      <w:rFonts w:ascii="Arial" w:hAnsi="Arial" w:eastAsia="Arial" w:cs="Arial"/>
      <w:b/>
      <w:bCs/>
      <w:sz w:val="24"/>
      <w:szCs w:val="24"/>
    </w:rPr>
  </w:style>
  <w:style w:type="paragraph" w:styleId="743">
    <w:name w:val="Heading 6"/>
    <w:basedOn w:val="911"/>
    <w:next w:val="911"/>
    <w:link w:val="744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744">
    <w:name w:val="Heading 6 Char"/>
    <w:link w:val="743"/>
    <w:uiPriority w:val="9"/>
    <w:rPr>
      <w:rFonts w:ascii="Arial" w:hAnsi="Arial" w:eastAsia="Arial" w:cs="Arial"/>
      <w:b/>
      <w:bCs/>
      <w:sz w:val="22"/>
      <w:szCs w:val="22"/>
    </w:rPr>
  </w:style>
  <w:style w:type="paragraph" w:styleId="745">
    <w:name w:val="Heading 7"/>
    <w:basedOn w:val="911"/>
    <w:next w:val="911"/>
    <w:link w:val="746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746">
    <w:name w:val="Heading 7 Char"/>
    <w:link w:val="745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747">
    <w:name w:val="Heading 8"/>
    <w:basedOn w:val="911"/>
    <w:next w:val="911"/>
    <w:link w:val="748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748">
    <w:name w:val="Heading 8 Char"/>
    <w:link w:val="747"/>
    <w:uiPriority w:val="9"/>
    <w:rPr>
      <w:rFonts w:ascii="Arial" w:hAnsi="Arial" w:eastAsia="Arial" w:cs="Arial"/>
      <w:i/>
      <w:iCs/>
      <w:sz w:val="22"/>
      <w:szCs w:val="22"/>
    </w:rPr>
  </w:style>
  <w:style w:type="paragraph" w:styleId="749">
    <w:name w:val="Heading 9"/>
    <w:basedOn w:val="911"/>
    <w:next w:val="911"/>
    <w:link w:val="750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750">
    <w:name w:val="Heading 9 Char"/>
    <w:link w:val="749"/>
    <w:uiPriority w:val="9"/>
    <w:rPr>
      <w:rFonts w:ascii="Arial" w:hAnsi="Arial" w:eastAsia="Arial" w:cs="Arial"/>
      <w:i/>
      <w:iCs/>
      <w:sz w:val="21"/>
      <w:szCs w:val="21"/>
    </w:rPr>
  </w:style>
  <w:style w:type="paragraph" w:styleId="751">
    <w:name w:val="List Paragraph"/>
    <w:basedOn w:val="911"/>
    <w:uiPriority w:val="34"/>
    <w:qFormat/>
    <w:pPr>
      <w:contextualSpacing/>
      <w:ind w:left="720"/>
    </w:pPr>
  </w:style>
  <w:style w:type="paragraph" w:styleId="752">
    <w:name w:val="No Spacing"/>
    <w:uiPriority w:val="1"/>
    <w:qFormat/>
    <w:pPr>
      <w:spacing w:before="0" w:after="0" w:line="240" w:lineRule="auto"/>
    </w:pPr>
  </w:style>
  <w:style w:type="paragraph" w:styleId="753">
    <w:name w:val="Title"/>
    <w:basedOn w:val="911"/>
    <w:next w:val="911"/>
    <w:link w:val="754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754">
    <w:name w:val="Title Char"/>
    <w:link w:val="753"/>
    <w:uiPriority w:val="10"/>
    <w:rPr>
      <w:sz w:val="48"/>
      <w:szCs w:val="48"/>
    </w:rPr>
  </w:style>
  <w:style w:type="paragraph" w:styleId="755">
    <w:name w:val="Subtitle"/>
    <w:basedOn w:val="911"/>
    <w:next w:val="911"/>
    <w:link w:val="756"/>
    <w:uiPriority w:val="11"/>
    <w:qFormat/>
    <w:pPr>
      <w:spacing w:before="200" w:after="200"/>
    </w:pPr>
    <w:rPr>
      <w:sz w:val="24"/>
      <w:szCs w:val="24"/>
    </w:rPr>
  </w:style>
  <w:style w:type="character" w:styleId="756">
    <w:name w:val="Subtitle Char"/>
    <w:link w:val="755"/>
    <w:uiPriority w:val="11"/>
    <w:rPr>
      <w:sz w:val="24"/>
      <w:szCs w:val="24"/>
    </w:rPr>
  </w:style>
  <w:style w:type="paragraph" w:styleId="757">
    <w:name w:val="Quote"/>
    <w:basedOn w:val="911"/>
    <w:next w:val="911"/>
    <w:link w:val="758"/>
    <w:uiPriority w:val="29"/>
    <w:qFormat/>
    <w:pPr>
      <w:ind w:left="720" w:right="720"/>
    </w:pPr>
    <w:rPr>
      <w:i/>
    </w:rPr>
  </w:style>
  <w:style w:type="character" w:styleId="758">
    <w:name w:val="Quote Char"/>
    <w:link w:val="757"/>
    <w:uiPriority w:val="29"/>
    <w:rPr>
      <w:i/>
    </w:rPr>
  </w:style>
  <w:style w:type="paragraph" w:styleId="759">
    <w:name w:val="Intense Quote"/>
    <w:basedOn w:val="911"/>
    <w:next w:val="911"/>
    <w:link w:val="760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760">
    <w:name w:val="Intense Quote Char"/>
    <w:link w:val="759"/>
    <w:uiPriority w:val="30"/>
    <w:rPr>
      <w:i/>
    </w:rPr>
  </w:style>
  <w:style w:type="paragraph" w:styleId="761">
    <w:name w:val="Header"/>
    <w:basedOn w:val="911"/>
    <w:link w:val="762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762">
    <w:name w:val="Header Char"/>
    <w:link w:val="761"/>
    <w:uiPriority w:val="99"/>
  </w:style>
  <w:style w:type="paragraph" w:styleId="763">
    <w:name w:val="Footer"/>
    <w:basedOn w:val="911"/>
    <w:link w:val="766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764">
    <w:name w:val="Footer Char"/>
    <w:link w:val="763"/>
    <w:uiPriority w:val="99"/>
  </w:style>
  <w:style w:type="paragraph" w:styleId="765">
    <w:name w:val="Caption"/>
    <w:basedOn w:val="911"/>
    <w:next w:val="911"/>
    <w:link w:val="766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766">
    <w:name w:val="Caption Char"/>
    <w:basedOn w:val="765"/>
    <w:link w:val="763"/>
    <w:uiPriority w:val="99"/>
  </w:style>
  <w:style w:type="table" w:styleId="767">
    <w:name w:val="Table Grid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68">
    <w:name w:val="Table Grid Light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69">
    <w:name w:val="Plain Table 1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70">
    <w:name w:val="Plain Table 2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71">
    <w:name w:val="Plain Table 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772">
    <w:name w:val="Plain Table 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3">
    <w:name w:val="Plain Table 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774">
    <w:name w:val="Grid Table 1 Light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5">
    <w:name w:val="Grid Table 1 Light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6">
    <w:name w:val="Grid Table 1 Light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7">
    <w:name w:val="Grid Table 1 Light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8">
    <w:name w:val="Grid Table 1 Light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9">
    <w:name w:val="Grid Table 1 Light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0">
    <w:name w:val="Grid Table 1 Light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1">
    <w:name w:val="Grid Table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2">
    <w:name w:val="Grid Table 2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3">
    <w:name w:val="Grid Table 2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4">
    <w:name w:val="Grid Table 2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5">
    <w:name w:val="Grid Table 2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6">
    <w:name w:val="Grid Table 2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7">
    <w:name w:val="Grid Table 2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8">
    <w:name w:val="Grid Table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9">
    <w:name w:val="Grid Table 3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0">
    <w:name w:val="Grid Table 3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1">
    <w:name w:val="Grid Table 3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2">
    <w:name w:val="Grid Table 3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3">
    <w:name w:val="Grid Table 3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4">
    <w:name w:val="Grid Table 3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5">
    <w:name w:val="Grid Table 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96">
    <w:name w:val="Grid Table 4 - Accent 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97">
    <w:name w:val="Grid Table 4 - Accent 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98">
    <w:name w:val="Grid Table 4 - Accent 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799">
    <w:name w:val="Grid Table 4 - Accent 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800">
    <w:name w:val="Grid Table 4 - Accent 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801">
    <w:name w:val="Grid Table 4 - Accent 6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802">
    <w:name w:val="Grid Table 5 Dark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803">
    <w:name w:val="Grid Table 5 Dark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804">
    <w:name w:val="Grid Table 5 Dark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805">
    <w:name w:val="Grid Table 5 Dark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806">
    <w:name w:val="Grid Table 5 Dark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807">
    <w:name w:val="Grid Table 5 Dark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808">
    <w:name w:val="Grid Table 5 Dark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809">
    <w:name w:val="Grid Table 6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810">
    <w:name w:val="Grid Table 6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811">
    <w:name w:val="Grid Table 6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812">
    <w:name w:val="Grid Table 6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813">
    <w:name w:val="Grid Table 6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814">
    <w:name w:val="Grid Table 6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815">
    <w:name w:val="Grid Table 6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816">
    <w:name w:val="Grid Table 7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7">
    <w:name w:val="Grid Table 7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8">
    <w:name w:val="Grid Table 7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9">
    <w:name w:val="Grid Table 7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0">
    <w:name w:val="Grid Table 7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1">
    <w:name w:val="Grid Table 7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2">
    <w:name w:val="Grid Table 7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3">
    <w:name w:val="List Table 1 Light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4">
    <w:name w:val="List Table 1 Light - Accent 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5">
    <w:name w:val="List Table 1 Light - Accent 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6">
    <w:name w:val="List Table 1 Light - Accent 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7">
    <w:name w:val="List Table 1 Light - Accent 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8">
    <w:name w:val="List Table 1 Light - Accent 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9">
    <w:name w:val="List Table 1 Light - Accent 6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0">
    <w:name w:val="List Table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831">
    <w:name w:val="List Table 2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832">
    <w:name w:val="List Table 2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833">
    <w:name w:val="List Table 2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834">
    <w:name w:val="List Table 2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835">
    <w:name w:val="List Table 2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836">
    <w:name w:val="List Table 2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837">
    <w:name w:val="List Table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8">
    <w:name w:val="List Table 3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9">
    <w:name w:val="List Table 3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0">
    <w:name w:val="List Table 3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1">
    <w:name w:val="List Table 3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2">
    <w:name w:val="List Table 3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3">
    <w:name w:val="List Table 3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4">
    <w:name w:val="List Table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5">
    <w:name w:val="List Table 4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6">
    <w:name w:val="List Table 4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7">
    <w:name w:val="List Table 4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8">
    <w:name w:val="List Table 4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9">
    <w:name w:val="List Table 4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50">
    <w:name w:val="List Table 4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51">
    <w:name w:val="List Table 5 Dark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52">
    <w:name w:val="List Table 5 Dark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53">
    <w:name w:val="List Table 5 Dark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54">
    <w:name w:val="List Table 5 Dark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55">
    <w:name w:val="List Table 5 Dark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56">
    <w:name w:val="List Table 5 Dark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57">
    <w:name w:val="List Table 5 Dark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58">
    <w:name w:val="List Table 6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859">
    <w:name w:val="List Table 6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860">
    <w:name w:val="List Table 6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861">
    <w:name w:val="List Table 6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862">
    <w:name w:val="List Table 6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863">
    <w:name w:val="List Table 6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864">
    <w:name w:val="List Table 6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865">
    <w:name w:val="List Table 7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866">
    <w:name w:val="List Table 7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867">
    <w:name w:val="List Table 7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868">
    <w:name w:val="List Table 7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869">
    <w:name w:val="List Table 7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870">
    <w:name w:val="List Table 7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871">
    <w:name w:val="List Table 7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872">
    <w:name w:val="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873">
    <w:name w:val="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874">
    <w:name w:val="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875">
    <w:name w:val="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876">
    <w:name w:val="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877">
    <w:name w:val="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878">
    <w:name w:val="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879">
    <w:name w:val="Bordered &amp; 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880">
    <w:name w:val="Bordered &amp; 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881">
    <w:name w:val="Bordered &amp; 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882">
    <w:name w:val="Bordered &amp; 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883">
    <w:name w:val="Bordered &amp; 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884">
    <w:name w:val="Bordered &amp; 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885">
    <w:name w:val="Bordered &amp; 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886">
    <w:name w:val="Bordered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887">
    <w:name w:val="Bordered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888">
    <w:name w:val="Bordered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889">
    <w:name w:val="Bordered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890">
    <w:name w:val="Bordered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891">
    <w:name w:val="Bordered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892">
    <w:name w:val="Bordered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893">
    <w:name w:val="Hyperlink"/>
    <w:uiPriority w:val="99"/>
    <w:unhideWhenUsed/>
    <w:rPr>
      <w:color w:val="0000ff" w:themeColor="hyperlink"/>
      <w:u w:val="single"/>
    </w:rPr>
  </w:style>
  <w:style w:type="paragraph" w:styleId="894">
    <w:name w:val="footnote text"/>
    <w:basedOn w:val="911"/>
    <w:link w:val="895"/>
    <w:uiPriority w:val="99"/>
    <w:semiHidden/>
    <w:unhideWhenUsed/>
    <w:pPr>
      <w:spacing w:after="40" w:line="240" w:lineRule="auto"/>
    </w:pPr>
    <w:rPr>
      <w:sz w:val="18"/>
    </w:rPr>
  </w:style>
  <w:style w:type="character" w:styleId="895">
    <w:name w:val="Footnote Text Char"/>
    <w:link w:val="894"/>
    <w:uiPriority w:val="99"/>
    <w:rPr>
      <w:sz w:val="18"/>
    </w:rPr>
  </w:style>
  <w:style w:type="character" w:styleId="896">
    <w:name w:val="footnote reference"/>
    <w:uiPriority w:val="99"/>
    <w:unhideWhenUsed/>
    <w:rPr>
      <w:vertAlign w:val="superscript"/>
    </w:rPr>
  </w:style>
  <w:style w:type="paragraph" w:styleId="897">
    <w:name w:val="endnote text"/>
    <w:basedOn w:val="911"/>
    <w:link w:val="898"/>
    <w:uiPriority w:val="99"/>
    <w:semiHidden/>
    <w:unhideWhenUsed/>
    <w:pPr>
      <w:spacing w:after="0" w:line="240" w:lineRule="auto"/>
    </w:pPr>
    <w:rPr>
      <w:sz w:val="20"/>
    </w:rPr>
  </w:style>
  <w:style w:type="character" w:styleId="898">
    <w:name w:val="Endnote Text Char"/>
    <w:link w:val="897"/>
    <w:uiPriority w:val="99"/>
    <w:rPr>
      <w:sz w:val="20"/>
    </w:rPr>
  </w:style>
  <w:style w:type="character" w:styleId="899">
    <w:name w:val="endnote reference"/>
    <w:uiPriority w:val="99"/>
    <w:semiHidden/>
    <w:unhideWhenUsed/>
    <w:rPr>
      <w:vertAlign w:val="superscript"/>
    </w:rPr>
  </w:style>
  <w:style w:type="paragraph" w:styleId="900">
    <w:name w:val="toc 1"/>
    <w:basedOn w:val="911"/>
    <w:next w:val="911"/>
    <w:uiPriority w:val="39"/>
    <w:unhideWhenUsed/>
    <w:pPr>
      <w:ind w:left="0" w:right="0" w:firstLine="0"/>
      <w:spacing w:after="57"/>
    </w:pPr>
  </w:style>
  <w:style w:type="paragraph" w:styleId="901">
    <w:name w:val="toc 2"/>
    <w:basedOn w:val="911"/>
    <w:next w:val="911"/>
    <w:uiPriority w:val="39"/>
    <w:unhideWhenUsed/>
    <w:pPr>
      <w:ind w:left="283" w:right="0" w:firstLine="0"/>
      <w:spacing w:after="57"/>
    </w:pPr>
  </w:style>
  <w:style w:type="paragraph" w:styleId="902">
    <w:name w:val="toc 3"/>
    <w:basedOn w:val="911"/>
    <w:next w:val="911"/>
    <w:uiPriority w:val="39"/>
    <w:unhideWhenUsed/>
    <w:pPr>
      <w:ind w:left="567" w:right="0" w:firstLine="0"/>
      <w:spacing w:after="57"/>
    </w:pPr>
  </w:style>
  <w:style w:type="paragraph" w:styleId="903">
    <w:name w:val="toc 4"/>
    <w:basedOn w:val="911"/>
    <w:next w:val="911"/>
    <w:uiPriority w:val="39"/>
    <w:unhideWhenUsed/>
    <w:pPr>
      <w:ind w:left="850" w:right="0" w:firstLine="0"/>
      <w:spacing w:after="57"/>
    </w:pPr>
  </w:style>
  <w:style w:type="paragraph" w:styleId="904">
    <w:name w:val="toc 5"/>
    <w:basedOn w:val="911"/>
    <w:next w:val="911"/>
    <w:uiPriority w:val="39"/>
    <w:unhideWhenUsed/>
    <w:pPr>
      <w:ind w:left="1134" w:right="0" w:firstLine="0"/>
      <w:spacing w:after="57"/>
    </w:pPr>
  </w:style>
  <w:style w:type="paragraph" w:styleId="905">
    <w:name w:val="toc 6"/>
    <w:basedOn w:val="911"/>
    <w:next w:val="911"/>
    <w:uiPriority w:val="39"/>
    <w:unhideWhenUsed/>
    <w:pPr>
      <w:ind w:left="1417" w:right="0" w:firstLine="0"/>
      <w:spacing w:after="57"/>
    </w:pPr>
  </w:style>
  <w:style w:type="paragraph" w:styleId="906">
    <w:name w:val="toc 7"/>
    <w:basedOn w:val="911"/>
    <w:next w:val="911"/>
    <w:uiPriority w:val="39"/>
    <w:unhideWhenUsed/>
    <w:pPr>
      <w:ind w:left="1701" w:right="0" w:firstLine="0"/>
      <w:spacing w:after="57"/>
    </w:pPr>
  </w:style>
  <w:style w:type="paragraph" w:styleId="907">
    <w:name w:val="toc 8"/>
    <w:basedOn w:val="911"/>
    <w:next w:val="911"/>
    <w:uiPriority w:val="39"/>
    <w:unhideWhenUsed/>
    <w:pPr>
      <w:ind w:left="1984" w:right="0" w:firstLine="0"/>
      <w:spacing w:after="57"/>
    </w:pPr>
  </w:style>
  <w:style w:type="paragraph" w:styleId="908">
    <w:name w:val="toc 9"/>
    <w:basedOn w:val="911"/>
    <w:next w:val="911"/>
    <w:uiPriority w:val="39"/>
    <w:unhideWhenUsed/>
    <w:pPr>
      <w:ind w:left="2268" w:right="0" w:firstLine="0"/>
      <w:spacing w:after="57"/>
    </w:pPr>
  </w:style>
  <w:style w:type="paragraph" w:styleId="909">
    <w:name w:val="TOC Heading"/>
    <w:uiPriority w:val="39"/>
    <w:unhideWhenUsed/>
  </w:style>
  <w:style w:type="paragraph" w:styleId="910">
    <w:name w:val="table of figures"/>
    <w:basedOn w:val="911"/>
    <w:next w:val="911"/>
    <w:uiPriority w:val="99"/>
    <w:unhideWhenUsed/>
    <w:pPr>
      <w:spacing w:after="0" w:afterAutospacing="0"/>
    </w:pPr>
  </w:style>
  <w:style w:type="paragraph" w:styleId="911" w:default="1">
    <w:name w:val="Normal"/>
    <w:next w:val="911"/>
    <w:link w:val="911"/>
    <w:qFormat/>
    <w:rPr>
      <w:sz w:val="24"/>
      <w:szCs w:val="24"/>
      <w:lang w:val="ru-RU" w:eastAsia="ru-RU" w:bidi="ar-SA"/>
    </w:rPr>
  </w:style>
  <w:style w:type="paragraph" w:styleId="912">
    <w:name w:val="Заголовок 1"/>
    <w:basedOn w:val="911"/>
    <w:next w:val="911"/>
    <w:link w:val="927"/>
    <w:qFormat/>
    <w:pPr>
      <w:jc w:val="center"/>
      <w:keepNext/>
      <w:outlineLvl w:val="0"/>
    </w:pPr>
    <w:rPr>
      <w:b/>
      <w:sz w:val="28"/>
      <w:szCs w:val="20"/>
    </w:rPr>
  </w:style>
  <w:style w:type="paragraph" w:styleId="913">
    <w:name w:val="Заголовок 2"/>
    <w:basedOn w:val="911"/>
    <w:next w:val="911"/>
    <w:link w:val="928"/>
    <w:qFormat/>
    <w:pPr>
      <w:jc w:val="center"/>
      <w:keepNext/>
      <w:outlineLvl w:val="1"/>
    </w:pPr>
    <w:rPr>
      <w:b/>
    </w:rPr>
  </w:style>
  <w:style w:type="character" w:styleId="914">
    <w:name w:val="Основной шрифт абзаца"/>
    <w:next w:val="914"/>
    <w:link w:val="911"/>
    <w:semiHidden/>
  </w:style>
  <w:style w:type="table" w:styleId="915">
    <w:name w:val="Обычная таблица"/>
    <w:next w:val="915"/>
    <w:link w:val="911"/>
    <w:semiHidden/>
    <w:tblPr/>
  </w:style>
  <w:style w:type="numbering" w:styleId="916">
    <w:name w:val="Нет списка"/>
    <w:next w:val="916"/>
    <w:link w:val="911"/>
    <w:semiHidden/>
  </w:style>
  <w:style w:type="paragraph" w:styleId="917">
    <w:name w:val="Основной текст"/>
    <w:basedOn w:val="911"/>
    <w:next w:val="917"/>
    <w:link w:val="931"/>
    <w:rPr>
      <w:sz w:val="28"/>
      <w:szCs w:val="20"/>
    </w:rPr>
  </w:style>
  <w:style w:type="paragraph" w:styleId="918">
    <w:name w:val="ConsNormal"/>
    <w:next w:val="918"/>
    <w:link w:val="911"/>
    <w:pPr>
      <w:ind w:firstLine="720"/>
      <w:widowControl w:val="off"/>
    </w:pPr>
    <w:rPr>
      <w:rFonts w:ascii="Arial" w:hAnsi="Arial"/>
      <w:sz w:val="16"/>
      <w:lang w:val="ru-RU" w:eastAsia="ru-RU" w:bidi="ar-SA"/>
    </w:rPr>
  </w:style>
  <w:style w:type="paragraph" w:styleId="919">
    <w:name w:val="Верхний колонтитул"/>
    <w:basedOn w:val="911"/>
    <w:next w:val="919"/>
    <w:link w:val="911"/>
    <w:pPr>
      <w:tabs>
        <w:tab w:val="center" w:pos="4677" w:leader="none"/>
        <w:tab w:val="right" w:pos="9355" w:leader="none"/>
      </w:tabs>
    </w:pPr>
  </w:style>
  <w:style w:type="paragraph" w:styleId="920">
    <w:name w:val="Нижний колонтитул"/>
    <w:basedOn w:val="911"/>
    <w:next w:val="920"/>
    <w:link w:val="929"/>
    <w:pPr>
      <w:tabs>
        <w:tab w:val="center" w:pos="4677" w:leader="none"/>
        <w:tab w:val="right" w:pos="9355" w:leader="none"/>
      </w:tabs>
    </w:pPr>
  </w:style>
  <w:style w:type="character" w:styleId="921">
    <w:name w:val="Номер страницы"/>
    <w:basedOn w:val="914"/>
    <w:next w:val="921"/>
    <w:link w:val="911"/>
  </w:style>
  <w:style w:type="paragraph" w:styleId="922">
    <w:name w:val="Основной текст с отступом 2"/>
    <w:basedOn w:val="911"/>
    <w:next w:val="922"/>
    <w:link w:val="926"/>
    <w:pPr>
      <w:ind w:left="283"/>
      <w:spacing w:after="120" w:line="480" w:lineRule="auto"/>
    </w:pPr>
  </w:style>
  <w:style w:type="table" w:styleId="923">
    <w:name w:val="Сетка таблицы"/>
    <w:basedOn w:val="915"/>
    <w:next w:val="923"/>
    <w:link w:val="911"/>
    <w:tblPr/>
  </w:style>
  <w:style w:type="paragraph" w:styleId="924">
    <w:name w:val="Текст выноски"/>
    <w:basedOn w:val="911"/>
    <w:next w:val="924"/>
    <w:link w:val="925"/>
    <w:rPr>
      <w:rFonts w:ascii="Tahoma" w:hAnsi="Tahoma" w:cs="Tahoma"/>
      <w:sz w:val="16"/>
      <w:szCs w:val="16"/>
    </w:rPr>
  </w:style>
  <w:style w:type="character" w:styleId="925">
    <w:name w:val="Текст выноски Знак"/>
    <w:next w:val="925"/>
    <w:link w:val="924"/>
    <w:rPr>
      <w:rFonts w:ascii="Tahoma" w:hAnsi="Tahoma" w:cs="Tahoma"/>
      <w:sz w:val="16"/>
      <w:szCs w:val="16"/>
    </w:rPr>
  </w:style>
  <w:style w:type="character" w:styleId="926">
    <w:name w:val="Основной текст с отступом 2 Знак"/>
    <w:next w:val="926"/>
    <w:link w:val="922"/>
    <w:rPr>
      <w:sz w:val="24"/>
      <w:szCs w:val="24"/>
    </w:rPr>
  </w:style>
  <w:style w:type="character" w:styleId="927">
    <w:name w:val="Заголовок 1 Знак"/>
    <w:next w:val="927"/>
    <w:link w:val="912"/>
    <w:rPr>
      <w:b/>
      <w:sz w:val="28"/>
    </w:rPr>
  </w:style>
  <w:style w:type="character" w:styleId="928">
    <w:name w:val="Заголовок 2 Знак"/>
    <w:next w:val="928"/>
    <w:link w:val="913"/>
    <w:rPr>
      <w:b/>
      <w:sz w:val="24"/>
      <w:szCs w:val="24"/>
    </w:rPr>
  </w:style>
  <w:style w:type="character" w:styleId="929">
    <w:name w:val="Нижний колонтитул Знак"/>
    <w:next w:val="929"/>
    <w:link w:val="920"/>
    <w:rPr>
      <w:sz w:val="24"/>
      <w:szCs w:val="24"/>
    </w:rPr>
  </w:style>
  <w:style w:type="paragraph" w:styleId="930">
    <w:name w:val="Таблицы (моноширинный)"/>
    <w:basedOn w:val="911"/>
    <w:next w:val="911"/>
    <w:link w:val="911"/>
    <w:pPr>
      <w:jc w:val="both"/>
    </w:pPr>
    <w:rPr>
      <w:rFonts w:ascii="Courier New" w:hAnsi="Courier New" w:cs="Courier New"/>
      <w:sz w:val="20"/>
      <w:szCs w:val="20"/>
    </w:rPr>
  </w:style>
  <w:style w:type="character" w:styleId="931">
    <w:name w:val="Основной текст Знак"/>
    <w:next w:val="931"/>
    <w:link w:val="917"/>
    <w:rPr>
      <w:sz w:val="28"/>
    </w:rPr>
  </w:style>
  <w:style w:type="paragraph" w:styleId="932">
    <w:name w:val="ConsPlusNormal"/>
    <w:next w:val="932"/>
    <w:link w:val="911"/>
    <w:pPr>
      <w:widowControl w:val="off"/>
    </w:pPr>
    <w:rPr>
      <w:rFonts w:ascii="Arial" w:hAnsi="Arial" w:cs="Arial"/>
      <w:lang w:val="ru-RU" w:eastAsia="ru-RU" w:bidi="ar-SA"/>
    </w:rPr>
  </w:style>
  <w:style w:type="character" w:styleId="933">
    <w:name w:val="Гиперссылка"/>
    <w:next w:val="933"/>
    <w:link w:val="911"/>
    <w:uiPriority w:val="99"/>
    <w:rPr>
      <w:color w:val="0000ff"/>
      <w:u w:val="single"/>
    </w:rPr>
  </w:style>
  <w:style w:type="paragraph" w:styleId="934">
    <w:name w:val="u"/>
    <w:basedOn w:val="911"/>
    <w:next w:val="934"/>
    <w:link w:val="911"/>
    <w:pPr>
      <w:spacing w:before="100" w:beforeAutospacing="1" w:after="100" w:afterAutospacing="1"/>
    </w:pPr>
  </w:style>
  <w:style w:type="paragraph" w:styleId="935">
    <w:name w:val="Текст"/>
    <w:basedOn w:val="911"/>
    <w:next w:val="935"/>
    <w:link w:val="936"/>
    <w:unhideWhenUsed/>
    <w:rPr>
      <w:rFonts w:ascii="Courier New" w:hAnsi="Courier New" w:cs="Courier New"/>
      <w:sz w:val="20"/>
      <w:szCs w:val="20"/>
    </w:rPr>
  </w:style>
  <w:style w:type="character" w:styleId="936">
    <w:name w:val="Текст Знак"/>
    <w:next w:val="936"/>
    <w:link w:val="935"/>
    <w:rPr>
      <w:rFonts w:ascii="Courier New" w:hAnsi="Courier New" w:cs="Courier New"/>
    </w:rPr>
  </w:style>
  <w:style w:type="character" w:styleId="937" w:default="1">
    <w:name w:val="Default Paragraph Font"/>
    <w:uiPriority w:val="1"/>
    <w:semiHidden/>
    <w:unhideWhenUsed/>
  </w:style>
  <w:style w:type="numbering" w:styleId="938" w:default="1">
    <w:name w:val="No List"/>
    <w:uiPriority w:val="99"/>
    <w:semiHidden/>
    <w:unhideWhenUsed/>
  </w:style>
  <w:style w:type="table" w:styleId="939" w:default="1">
    <w:name w:val="Normal Table"/>
    <w:uiPriority w:val="99"/>
    <w:semiHidden/>
    <w:unhideWhenUsed/>
    <w:tblPr/>
  </w:style>
  <w:style w:type="paragraph" w:styleId="940" w:customStyle="1">
    <w:name w:val="Body Text"/>
    <w:uiPriority w:val="1"/>
    <w:qFormat/>
    <w:pPr>
      <w:contextualSpacing w:val="0"/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 w:val="off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7"/>
      <w:szCs w:val="27"/>
      <w:highlight w:val="none"/>
      <w:u w:val="none"/>
      <w:vertAlign w:val="baseline"/>
      <w:rtl w:val="0"/>
      <w:cs w:val="0"/>
      <w:lang w:val="ru-RU" w:eastAsia="en-US" w:bidi="ar-SA"/>
      <w14:ligatures w14:val="none"/>
    </w:rPr>
  </w:style>
  <w:style w:type="paragraph" w:styleId="941" w:customStyle="1">
    <w:name w:val="docdata;docy;v5;2145;bqiaagaaeyqcaaagiaiaaaowbqaabb4faaaaaaaaaaaaaaaaaaaaaaaaaaaaaaaaaaaaaaaaaaaaaaaaaaaaaaaaaaaaaaaaaaaaaaaaaaaaaaaaaaaaaaaaaaaaaaaaaaaaaaaaaaaaaaaaaaaaaaaaaaaaaaaaaaaaaaaaaaaaaaaaaaaaaaaaaaaaaaaaaaaaaaaaaaaaaaaaaaaaaaaaaaaaaaaaaaaaaaaa"/>
    <w:basedOn w:val="738"/>
    <w:pPr>
      <w:contextualSpacing w:val="0"/>
      <w:ind w:left="0" w:right="0" w:firstLine="0"/>
      <w:jc w:val="left"/>
      <w:keepLines w:val="0"/>
      <w:keepNext w:val="0"/>
      <w:pageBreakBefore w:val="0"/>
      <w:spacing w:before="100" w:beforeAutospacing="1" w:after="100" w:afterAutospacing="1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ru-RU" w:eastAsia="ru-RU" w:bidi="ar-SA"/>
      <w14:ligatures w14:val="none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header" Target="header1.xml" /><Relationship Id="rId10" Type="http://schemas.openxmlformats.org/officeDocument/2006/relationships/header" Target="header2.xml" /><Relationship Id="rId11" Type="http://schemas.openxmlformats.org/officeDocument/2006/relationships/header" Target="header3.xml" /><Relationship Id="rId12" Type="http://schemas.openxmlformats.org/officeDocument/2006/relationships/footer" Target="footer1.xml" /><Relationship Id="rId13" Type="http://schemas.openxmlformats.org/officeDocument/2006/relationships/footer" Target="footer2.xml" /><Relationship Id="rId14" Type="http://schemas.openxmlformats.org/officeDocument/2006/relationships/image" Target="media/image1.png"/><Relationship Id="rId15" Type="http://schemas.openxmlformats.org/officeDocument/2006/relationships/image" Target="media/media1.sv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er2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/Relationships>
</file>

<file path=word/_rels/header2.xml.rels><?xml version="1.0" encoding="UTF-8" standalone="yes"?><Relationships xmlns="http://schemas.openxmlformats.org/package/2006/relationships"></Relationships>
</file>

<file path=word/_rels/header3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Р7-Офис/2025.3.1.923</Application>
  <Company>ДИЗО НСО</Company>
  <DocSecurity>0</DocSecurity>
  <HyperlinksChanged>false</HyperlinksChanged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распоряжения</dc:title>
  <dc:creator>ata</dc:creator>
  <cp:lastModifiedBy>eei@NSO.LOC</cp:lastModifiedBy>
  <cp:revision>15</cp:revision>
  <dcterms:created xsi:type="dcterms:W3CDTF">2024-04-08T09:47:00Z</dcterms:created>
  <dcterms:modified xsi:type="dcterms:W3CDTF">2026-03-25T05:07:09Z</dcterms:modified>
  <cp:version>1048576</cp:version>
</cp:coreProperties>
</file>